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417"/>
          <w:jc w:val="center"/>
        </w:trPr>
        <w:tc>
          <w:tcPr>
            <w:tcW w:w="6804" w:type="dxa"/>
            <w:vAlign w:val="center"/>
          </w:tcPr>
          <w:p>
            <w:pPr>
              <w:pStyle w:val="EPName"/>
            </w:pPr>
            <w:r w:rsidR="00A77B3E">
              <w:t>European Parliament</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767337" name=""/>
                          <pic:cNvPicPr>
                            <a:picLocks noChangeAspect="1"/>
                          </pic:cNvPicPr>
                        </pic:nvPicPr>
                        <pic:blipFill>
                          <a:blip xmlns:r="http://schemas.openxmlformats.org/officeDocument/2006/relationships" r:embed="rId4"/>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{DEVE}</w:t>
      </w:r>
      <w:r>
        <w:t>Committee on Development</w:t>
      </w:r>
      <w:r>
        <w:rPr>
          <w:rStyle w:val="HideTWBExt"/>
        </w:rPr>
        <w:t>&lt;/</w:t>
      </w:r>
      <w:r>
        <w:rPr>
          <w:rStyle w:val="HideTWBExt"/>
        </w:rPr>
        <w:t>Commission</w:t>
      </w:r>
      <w:r>
        <w:rPr>
          <w:rStyle w:val="HideTWBExt"/>
        </w:rPr>
        <w:t>&gt;</w:t>
      </w:r>
    </w:p>
    <w:p>
      <w:pPr>
        <w:pStyle w:val="LineBottom"/>
      </w:pPr>
    </w:p>
    <w:p>
      <w:pPr>
        <w:pStyle w:val="CoverReference"/>
      </w:pPr>
      <w:r>
        <w:rPr>
          <w:rStyle w:val="HideTWBExt"/>
        </w:rPr>
        <w:t>&lt;</w:t>
      </w:r>
      <w:r>
        <w:rPr>
          <w:rStyle w:val="HideTWBExt"/>
        </w:rPr>
        <w:t>RefProc</w:t>
      </w:r>
      <w:r>
        <w:rPr>
          <w:rStyle w:val="HideTWBExt"/>
        </w:rPr>
        <w:t>&gt;</w:t>
      </w:r>
      <w:r>
        <w:t>2022/0212</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(BUD)</w:t>
      </w:r>
      <w:r>
        <w:rPr>
          <w:rStyle w:val="HideTWBExt"/>
        </w:rPr>
        <w:t>&lt;/</w:t>
      </w:r>
      <w:r>
        <w:rPr>
          <w:rStyle w:val="HideTWBExt"/>
        </w:rPr>
        <w:t>RefTypeProc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21/09/2022</w:t>
      </w:r>
      <w:r>
        <w:rPr>
          <w:rStyle w:val="HideTWBInt"/>
        </w:rPr>
        <w:t>}</w:t>
      </w:r>
      <w:r>
        <w:t>21.9.2022</w:t>
      </w:r>
      <w:r>
        <w:rPr>
          <w:rStyle w:val="HideTWBExt"/>
        </w:rPr>
        <w:t>&lt;/</w:t>
      </w:r>
      <w:r>
        <w:rPr>
          <w:rStyle w:val="HideTWBExt"/>
        </w:rPr>
        <w:t>Date</w:t>
      </w:r>
      <w:r>
        <w:rPr>
          <w:rStyle w:val="HideTWBExt"/>
        </w:rPr>
        <w:t>&gt;</w:t>
      </w:r>
    </w:p>
    <w:p>
      <w:pPr>
        <w:pStyle w:val="CoverDocType"/>
      </w:pPr>
      <w:r>
        <w:rPr>
          <w:rStyle w:val="HideTWBExt"/>
        </w:rPr>
        <w:t>&lt;</w:t>
      </w:r>
      <w:r>
        <w:rPr>
          <w:rStyle w:val="HideTWBExt"/>
        </w:rPr>
        <w:t>TypeAM</w:t>
      </w:r>
      <w:r>
        <w:rPr>
          <w:rStyle w:val="HideTWBExt"/>
        </w:rPr>
        <w:t>&gt;</w:t>
      </w:r>
      <w:r>
        <w:t>COMPROMISE AMENDMENTS</w:t>
      </w:r>
      <w:r>
        <w:rPr>
          <w:rStyle w:val="HideTWBExt"/>
        </w:rPr>
        <w:t>&lt;/</w:t>
      </w:r>
      <w:r>
        <w:rPr>
          <w:rStyle w:val="HideTWBExt"/>
        </w:rPr>
        <w:t>TypeAM</w:t>
      </w:r>
      <w:r>
        <w:rPr>
          <w:rStyle w:val="HideTWBExt"/>
        </w:rPr>
        <w:t>&gt;</w:t>
      </w:r>
    </w:p>
    <w:p>
      <w:pPr>
        <w:pStyle w:val="CoverDocType24a"/>
      </w:pPr>
      <w:r>
        <w:rPr>
          <w:rStyle w:val="HideTWBExt"/>
        </w:rPr>
        <w:t>&lt;</w:t>
      </w:r>
      <w:r>
        <w:rPr>
          <w:rStyle w:val="HideTWBExt"/>
        </w:rPr>
        <w:t>RangeAM</w:t>
      </w:r>
      <w:r>
        <w:rPr>
          <w:rStyle w:val="HideTWBExt"/>
        </w:rPr>
        <w:t>&gt;</w:t>
      </w:r>
      <w:r>
        <w:t>1 - 9</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Draft opinion</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Antoni Comín i Oliveres</w:t>
      </w:r>
      <w:r>
        <w:rPr>
          <w:rStyle w:val="HideTWBExt"/>
        </w:rPr>
        <w:t>&lt;/</w:t>
      </w:r>
      <w:r>
        <w:rPr>
          <w:rStyle w:val="HideTWBExt"/>
        </w:rPr>
        <w:t>Rapporteur</w:t>
      </w:r>
      <w:r>
        <w:rPr>
          <w:rStyle w:val="HideTWBExt"/>
        </w:rPr>
        <w:t>&gt;</w:t>
      </w:r>
    </w:p>
    <w:p>
      <w:pPr>
        <w:pStyle w:val="CoverNormal24a"/>
      </w:pPr>
      <w:r>
        <w:rPr>
          <w:rStyle w:val="HideTWBExt"/>
        </w:rPr>
        <w:t>&lt;</w:t>
      </w:r>
      <w:r>
        <w:rPr>
          <w:rStyle w:val="HideTWBExt"/>
        </w:rPr>
        <w:t>DocRefPE</w:t>
      </w:r>
      <w:r>
        <w:rPr>
          <w:rStyle w:val="HideTWBExt"/>
        </w:rPr>
        <w:t>&gt;</w:t>
      </w:r>
      <w:r>
        <w:t>(</w:t>
      </w:r>
      <w:r>
        <w:t>PE735.499v01-00</w:t>
      </w:r>
      <w:r>
        <w:t>)</w:t>
      </w:r>
      <w:r>
        <w:rPr>
          <w:rStyle w:val="HideTWBExt"/>
        </w:rPr>
        <w:t>&lt;/</w:t>
      </w:r>
      <w:r>
        <w:rPr>
          <w:rStyle w:val="HideTWBExt"/>
        </w:rPr>
        <w:t>DocRefPE</w:t>
      </w:r>
      <w:r>
        <w:rPr>
          <w:rStyle w:val="HideTWBExt"/>
        </w:rPr>
        <w:t>&gt;</w:t>
      </w:r>
    </w:p>
    <w:p>
      <w:pPr>
        <w:pStyle w:val="CoverNormal"/>
      </w:pPr>
      <w:r>
        <w:rPr>
          <w:rStyle w:val="HideTWBExt"/>
        </w:rPr>
        <w:t>&lt;</w:t>
      </w:r>
      <w:r>
        <w:rPr>
          <w:rStyle w:val="HideTWBExt"/>
        </w:rPr>
        <w:t>Titre</w:t>
      </w:r>
      <w:r>
        <w:rPr>
          <w:rStyle w:val="HideTWBExt"/>
        </w:rPr>
        <w:t>&gt;</w:t>
      </w:r>
      <w:r>
        <w:t>General budget of the European Union for the financial year 2023 - all sections</w:t>
      </w:r>
      <w:r>
        <w:rPr>
          <w:rStyle w:val="HideTWBExt"/>
        </w:rPr>
        <w:t>&lt;/</w:t>
      </w:r>
      <w:r>
        <w:rPr>
          <w:rStyle w:val="HideTWBExt"/>
        </w:rPr>
        <w:t>Titre</w:t>
      </w:r>
      <w:r>
        <w:rPr>
          <w:rStyle w:val="HideTWBExt"/>
        </w:rPr>
        <w:t>&gt;</w:t>
      </w:r>
    </w:p>
    <w:p>
      <w:pPr>
        <w:pStyle w:val="CoverNormal24a"/>
      </w:pPr>
      <w:r>
        <w:rPr>
          <w:rStyle w:val="HideTWBExt"/>
        </w:rPr>
        <w:t>&lt;</w:t>
      </w:r>
      <w:r>
        <w:rPr>
          <w:rStyle w:val="HideTWBExt"/>
        </w:rPr>
        <w:t>DocRef</w:t>
      </w:r>
      <w:r>
        <w:rPr>
          <w:rStyle w:val="HideTWBExt"/>
        </w:rPr>
        <w:t>&gt;</w:t>
      </w:r>
      <w:r>
        <w:t>(</w:t>
      </w:r>
      <w:r>
        <w:t>2022/0212(BUD)</w:t>
      </w:r>
      <w:r>
        <w:t>)</w:t>
      </w:r>
      <w:r>
        <w:rPr>
          <w:rStyle w:val="HideTWBExt"/>
        </w:rPr>
        <w:t>&lt;/</w:t>
      </w:r>
      <w:r>
        <w:rPr>
          <w:rStyle w:val="HideTWBExt"/>
        </w:rPr>
        <w:t>DocRef</w:t>
      </w:r>
      <w:r>
        <w:rPr>
          <w:rStyle w:val="HideTWBExt"/>
        </w:rPr>
        <w:t>&gt;</w:t>
      </w:r>
    </w:p>
    <w:p>
      <w:r>
        <w:br w:type="page"/>
      </w:r>
      <w:r>
        <w:t>AM_Com_NonLegCompr</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Antoni Comín i Oliveres</w:t>
      </w:r>
      <w:r>
        <w:rPr>
          <w:rStyle w:val="HideTWBExt"/>
        </w:rPr>
        <w:t>&lt;/</w:t>
      </w:r>
      <w:r>
        <w:rPr>
          <w:rStyle w:val="HideTWBExt"/>
        </w:rPr>
        <w:t>Members</w:t>
      </w:r>
      <w:r>
        <w:rPr>
          <w:rStyle w:val="HideTWBExt"/>
        </w:rPr>
        <w:t>&gt;</w:t>
      </w:r>
    </w:p>
    <w:p>
      <w:r>
        <w:rPr>
          <w:rStyle w:val="HideTWBExt"/>
        </w:rPr>
        <w:t>&lt;/</w:t>
      </w:r>
      <w:r>
        <w:rPr>
          <w:rStyle w:val="HideTWBExt"/>
        </w:rPr>
        <w:t>RepeatBlock-By</w:t>
      </w:r>
      <w:r>
        <w:rPr>
          <w:rStyle w:val="HideTWBExt"/>
        </w:rPr>
        <w:t>&gt;</w:t>
      </w:r>
      <w:r>
        <w:rPr>
          <w:rStyle w:val="HideTWBExt"/>
        </w:rPr>
        <w:t>&lt;</w:t>
      </w:r>
      <w:r>
        <w:rPr>
          <w:rStyle w:val="HideTWBExt"/>
        </w:rPr>
        <w:t>Compromise</w:t>
      </w:r>
      <w:r>
        <w:rPr>
          <w:rStyle w:val="HideTWBExt"/>
        </w:rPr>
        <w:t>&gt;</w:t>
      </w:r>
      <w:r>
        <w:t>Compromise Amendment replacing Amendment(s): 1, 2, 3, 37</w:t>
      </w:r>
      <w:r>
        <w:rPr>
          <w:rStyle w:val="HideTWBExt"/>
        </w:rPr>
        <w:t>&lt;/</w:t>
      </w:r>
      <w:r>
        <w:rPr>
          <w:rStyle w:val="HideTWBExt"/>
        </w:rPr>
        <w:t>Compromise</w:t>
      </w:r>
      <w:r>
        <w:rPr>
          <w:rStyle w:val="HideTWBExt"/>
        </w:rPr>
        <w:t>&gt;</w:t>
      </w:r>
    </w:p>
    <w:p>
      <w:pPr>
        <w:pStyle w:val="NormalBold12b"/>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Notes with deep concern that the brutal Russian aggression against Ukraine and its worldwide effects have dramatically increased humanitarian assistance needs, which were already under pressure because of funding gaps and the multiplication of crises in the world; calls to significantly increase humanitarian aid to address the unprecedented gap between needs and available resources, which currently stands at $36.9 billion – the highest ever</w:t>
            </w:r>
            <w:r>
              <w:rPr>
                <w:rStyle w:val="Sup"/>
              </w:rPr>
              <w:t>1</w:t>
            </w:r>
            <w:r>
              <w:t xml:space="preserve"> ;</w:t>
            </w:r>
          </w:p>
        </w:tc>
        <w:tc>
          <w:tcPr>
            <w:tcW w:w="4876" w:type="dxa"/>
            <w:vAlign w:val="top"/>
          </w:tcPr>
          <w:p>
            <w:pPr>
              <w:pStyle w:val="Normal6a"/>
            </w:pPr>
            <w:r>
              <w:t>1.</w:t>
            </w:r>
            <w:r>
              <w:tab/>
            </w:r>
            <w:r>
              <w:t>Notes with deep concern that the brutal Russian aggression against Ukraine and its worldwide effects</w:t>
            </w:r>
            <w:r>
              <w:rPr>
                <w:b/>
                <w:i/>
                <w:strike w:val="0"/>
                <w:color w:val="auto"/>
                <w:highlight w:val="none"/>
                <w:u w:val="none" w:color="auto"/>
                <w:vertAlign w:val="baseline"/>
              </w:rPr>
              <w:t>, including rising food and energy prices,</w:t>
            </w:r>
            <w:r>
              <w:t xml:space="preserve"> have dramatically increased humanitarian assistance needs, which were already under pressure because of funding gaps and the multiplication of crises in the world; </w:t>
            </w:r>
            <w:r>
              <w:rPr>
                <w:b/>
                <w:i/>
                <w:strike w:val="0"/>
                <w:color w:val="auto"/>
                <w:highlight w:val="none"/>
                <w:u w:val="none" w:color="auto"/>
                <w:vertAlign w:val="baseline"/>
              </w:rPr>
              <w:t>underlines that the numerous and consistent top-ups of the Union’s annual humanitarian budget over the past years have proven the initially allocated funding not to be sufficient to cover the humanitarian needs for the entire year; recalls that as of mid-July 2022, 95 % of the Union’s humanitarian resources had already been committed; insists that humanitarian aid is life-saving, with many millions of lives dependent on the Union’s assistance;</w:t>
            </w:r>
            <w:r>
              <w:t xml:space="preserve"> calls to significantly increase humanitarian aid </w:t>
            </w:r>
            <w:r>
              <w:rPr>
                <w:b/>
                <w:i/>
                <w:strike w:val="0"/>
                <w:color w:val="auto"/>
                <w:highlight w:val="none"/>
                <w:u w:val="none" w:color="auto"/>
                <w:vertAlign w:val="baseline"/>
              </w:rPr>
              <w:t>by at least EUR 900 million</w:t>
            </w:r>
            <w:r>
              <w:t xml:space="preserve"> to address the unprecedented gap between needs and available resources, which currently stands at $36.9 billion– the highest ever</w:t>
            </w:r>
            <w:r>
              <w:rPr>
                <w:rStyle w:val="Sup"/>
              </w:rPr>
              <w:t>1</w:t>
            </w:r>
            <w:r>
              <w:t xml:space="preserve">; </w:t>
            </w:r>
            <w:r>
              <w:rPr>
                <w:b/>
                <w:i/>
                <w:strike w:val="0"/>
                <w:color w:val="auto"/>
                <w:highlight w:val="none"/>
                <w:u w:val="none" w:color="auto"/>
                <w:vertAlign w:val="baseline"/>
              </w:rPr>
              <w:t>calls on the Member States to live up to the commitment to dedicate 0,7 % of their gross national income (GNI) to development and aid;</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b/>
                <w:i/>
                <w:strike w:val="0"/>
                <w:color w:val="auto"/>
                <w:highlight w:val="none"/>
                <w:u w:val="none" w:color="auto"/>
                <w:vertAlign w:val="baseline"/>
              </w:rPr>
              <w:t>_________________</w:t>
            </w:r>
          </w:p>
        </w:tc>
        <w:tc>
          <w:tcPr>
            <w:tcW w:w="4876" w:type="dxa"/>
            <w:vAlign w:val="top"/>
          </w:tcPr>
          <w:p>
            <w:pPr>
              <w:pStyle w:val="Normal6a"/>
            </w:pPr>
            <w:r>
              <w:rPr>
                <w:b/>
                <w:i/>
                <w:strike w:val="0"/>
                <w:color w:val="auto"/>
                <w:highlight w:val="none"/>
                <w:u w:val="none" w:color="auto"/>
                <w:vertAlign w:val="baseline"/>
              </w:rP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1</w:t>
            </w:r>
            <w:r>
              <w:t xml:space="preserve"> </w:t>
            </w:r>
            <w:r>
              <w:t>OCHA Global Humanitarian Overview 2022, Mid-Year Update, https://reliefweb.int/report/world/global-humanitarian-overview-2022-mid-year-update-snapshot-21-june-2022.</w:t>
            </w:r>
          </w:p>
        </w:tc>
        <w:tc>
          <w:tcPr>
            <w:tcW w:w="4876" w:type="dxa"/>
            <w:vAlign w:val="top"/>
          </w:tcPr>
          <w:p>
            <w:pPr>
              <w:pStyle w:val="Normal6a"/>
            </w:pPr>
            <w:r>
              <w:rPr>
                <w:rStyle w:val="Sup"/>
              </w:rPr>
              <w:t>1</w:t>
            </w:r>
            <w:r>
              <w:t xml:space="preserve"> </w:t>
            </w:r>
            <w:r>
              <w:t>OCHA Global Humanitarian Overview 2022, Mid-Year Update, https://reliefweb.int/report/world/global-humanitarian-overview-2022-mid-year-update-snapshot-21-june-2022.</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Antoni Comín i Oliveres</w:t>
      </w:r>
      <w:r>
        <w:rPr>
          <w:rStyle w:val="HideTWBExt"/>
        </w:rPr>
        <w:t>&lt;/</w:t>
      </w:r>
      <w:r>
        <w:rPr>
          <w:rStyle w:val="HideTWBExt"/>
        </w:rPr>
        <w:t>Members</w:t>
      </w:r>
      <w:r>
        <w:rPr>
          <w:rStyle w:val="HideTWBExt"/>
        </w:rPr>
        <w:t>&gt;</w:t>
      </w:r>
    </w:p>
    <w:p>
      <w:r>
        <w:rPr>
          <w:rStyle w:val="HideTWBExt"/>
        </w:rPr>
        <w:t>&lt;/</w:t>
      </w:r>
      <w:r>
        <w:rPr>
          <w:rStyle w:val="HideTWBExt"/>
        </w:rPr>
        <w:t>RepeatBlock-By</w:t>
      </w:r>
      <w:r>
        <w:rPr>
          <w:rStyle w:val="HideTWBExt"/>
        </w:rPr>
        <w:t>&gt;</w:t>
      </w:r>
      <w:r>
        <w:rPr>
          <w:rStyle w:val="HideTWBExt"/>
        </w:rPr>
        <w:t>&lt;</w:t>
      </w:r>
      <w:r>
        <w:rPr>
          <w:rStyle w:val="HideTWBExt"/>
        </w:rPr>
        <w:t>Compromise</w:t>
      </w:r>
      <w:r>
        <w:rPr>
          <w:rStyle w:val="HideTWBExt"/>
        </w:rPr>
        <w:t>&gt;</w:t>
      </w:r>
      <w:r>
        <w:t>Compromise Amendment replacing Amendment(s): 7, 11, 27</w:t>
      </w:r>
      <w:r>
        <w:rPr>
          <w:rStyle w:val="HideTWBExt"/>
        </w:rPr>
        <w:t>&lt;/</w:t>
      </w:r>
      <w:r>
        <w:rPr>
          <w:rStyle w:val="HideTWBExt"/>
        </w:rPr>
        <w:t>Compromise</w:t>
      </w:r>
      <w:r>
        <w:rPr>
          <w:rStyle w:val="HideTWBExt"/>
        </w:rPr>
        <w:t>&gt;</w:t>
      </w:r>
    </w:p>
    <w:p>
      <w:pPr>
        <w:pStyle w:val="NormalBold12b"/>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1 a.</w:t>
            </w:r>
            <w:r>
              <w:tab/>
            </w:r>
            <w:r>
              <w:rPr>
                <w:b/>
                <w:i/>
                <w:strike w:val="0"/>
                <w:color w:val="auto"/>
                <w:highlight w:val="none"/>
                <w:u w:val="none" w:color="auto"/>
                <w:vertAlign w:val="baseline"/>
              </w:rPr>
              <w:t>Reminds that to meet the additional needs caused by the war in Ukraine, resources should not be diverted from other geographic regions or thematic priorities; calls for an increase of EUR 20 million in commitments for each of the following geographic programmes: West Africa as well as East and Central Africa, to help implement anticipatory and medium to long-term locally led climate adaptation actions to increase the resilience of small-scale local food production and compensate for climate-change induced loss and damage; asks for additional resources to be allocated to the Southern Neighbourhood in order to support peace and stability through political, economic and social reforms as well as gender equality in the relevant countries; underlines the importance of continued support for allies, among other in the Rojava region, in the fight against terrorism;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Antoni Comín i Oliveres</w:t>
      </w:r>
      <w:r>
        <w:rPr>
          <w:rStyle w:val="HideTWBExt"/>
        </w:rPr>
        <w:t>&lt;/</w:t>
      </w:r>
      <w:r>
        <w:rPr>
          <w:rStyle w:val="HideTWBExt"/>
        </w:rPr>
        <w:t>Members</w:t>
      </w:r>
      <w:r>
        <w:rPr>
          <w:rStyle w:val="HideTWBExt"/>
        </w:rPr>
        <w:t>&gt;</w:t>
      </w:r>
    </w:p>
    <w:p>
      <w:r>
        <w:rPr>
          <w:rStyle w:val="HideTWBExt"/>
        </w:rPr>
        <w:t>&lt;/</w:t>
      </w:r>
      <w:r>
        <w:rPr>
          <w:rStyle w:val="HideTWBExt"/>
        </w:rPr>
        <w:t>RepeatBlock-By</w:t>
      </w:r>
      <w:r>
        <w:rPr>
          <w:rStyle w:val="HideTWBExt"/>
        </w:rPr>
        <w:t>&gt;</w:t>
      </w:r>
      <w:r>
        <w:rPr>
          <w:rStyle w:val="HideTWBExt"/>
        </w:rPr>
        <w:t>&lt;</w:t>
      </w:r>
      <w:r>
        <w:rPr>
          <w:rStyle w:val="HideTWBExt"/>
        </w:rPr>
        <w:t>Compromise</w:t>
      </w:r>
      <w:r>
        <w:rPr>
          <w:rStyle w:val="HideTWBExt"/>
        </w:rPr>
        <w:t>&gt;</w:t>
      </w:r>
      <w:r>
        <w:t>Compromise Amendment replacing Amendment(s): 8, 9, 10</w:t>
      </w:r>
      <w:r>
        <w:rPr>
          <w:rStyle w:val="HideTWBExt"/>
        </w:rPr>
        <w:t>&lt;/</w:t>
      </w:r>
      <w:r>
        <w:rPr>
          <w:rStyle w:val="HideTWBExt"/>
        </w:rPr>
        <w:t>Compromise</w:t>
      </w:r>
      <w:r>
        <w:rPr>
          <w:rStyle w:val="HideTWBExt"/>
        </w:rPr>
        <w:t>&gt;</w:t>
      </w:r>
    </w:p>
    <w:p>
      <w:pPr>
        <w:pStyle w:val="NormalBold12b"/>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Is extremely alarmed by the deepening food insecurity, with up to 345 million people across 82 countries estimated to be acutely food insecure in 2022</w:t>
            </w:r>
            <w:r>
              <w:rPr>
                <w:rStyle w:val="Sup"/>
              </w:rPr>
              <w:t>2</w:t>
            </w:r>
            <w:r>
              <w:t xml:space="preserve"> ; calls for additional funding for the “Prosperity” thematic programme of the Neighbourhood, Development and International Cooperation Instrument – Global Europe (NDICI-Global Europe) to help partner countries develop resilient sustainable agri-food systems and reduce </w:t>
            </w:r>
            <w:r>
              <w:rPr>
                <w:b/>
                <w:i/>
                <w:strike w:val="0"/>
                <w:color w:val="auto"/>
                <w:highlight w:val="none"/>
                <w:u w:val="none" w:color="auto"/>
                <w:vertAlign w:val="baseline"/>
              </w:rPr>
              <w:t>their</w:t>
            </w:r>
            <w:r>
              <w:t xml:space="preserve"> dependence on food imports;</w:t>
            </w:r>
          </w:p>
        </w:tc>
        <w:tc>
          <w:tcPr>
            <w:tcW w:w="4876" w:type="dxa"/>
            <w:vAlign w:val="top"/>
          </w:tcPr>
          <w:p>
            <w:pPr>
              <w:pStyle w:val="Normal6a"/>
            </w:pPr>
            <w:r>
              <w:t>2.</w:t>
            </w:r>
            <w:r>
              <w:tab/>
            </w:r>
            <w:r>
              <w:t>Is extremely alarmed by the deepening food insecurity, with up to 345 million people across 82 countries estimated to be acutely food insecure in 2022</w:t>
            </w:r>
            <w:r>
              <w:rPr>
                <w:rStyle w:val="Sup"/>
              </w:rPr>
              <w:t>2</w:t>
            </w:r>
            <w:r>
              <w:rPr>
                <w:b/>
                <w:i/>
                <w:strike w:val="0"/>
                <w:color w:val="auto"/>
                <w:highlight w:val="none"/>
                <w:u w:val="none" w:color="auto"/>
                <w:vertAlign w:val="baseline"/>
              </w:rPr>
              <w:t>; points out that the Food and Agriculture Organization of the United Nations expects that the consequences of the war in Ukraine will raise the number of undernourished people by 7.6 to 13.1 million in 2022 and 2023, in addition to the 811 million people who were already facing chronic hunger in 2020</w:t>
            </w:r>
            <w:r>
              <w:t>; calls for additional funding for the “Prosperity” thematic programme of the Neighbourhood, Development and International Cooperation Instrument – Global Europe (NDICI-Global Europe) to help partner countries develop resilient sustainable agri-food systems</w:t>
            </w:r>
            <w:r>
              <w:rPr>
                <w:b/>
                <w:i/>
                <w:strike w:val="0"/>
                <w:color w:val="auto"/>
                <w:highlight w:val="none"/>
                <w:u w:val="none" w:color="auto"/>
                <w:vertAlign w:val="baseline"/>
              </w:rPr>
              <w:t>, enhance local food production including agroecological practices, promote small-scale producers and local communities, invest in interventions for food security to achieve the Sustainable Development Goals (SDGs)</w:t>
            </w:r>
            <w:r>
              <w:t xml:space="preserve"> and reduce </w:t>
            </w:r>
            <w:r>
              <w:rPr>
                <w:b/>
                <w:i/>
                <w:strike w:val="0"/>
                <w:color w:val="auto"/>
                <w:highlight w:val="none"/>
                <w:u w:val="none" w:color="auto"/>
                <w:vertAlign w:val="baseline"/>
              </w:rPr>
              <w:t>partner countries’</w:t>
            </w:r>
            <w:r>
              <w:t xml:space="preserve"> dependence on food imports; </w:t>
            </w:r>
            <w:r>
              <w:rPr>
                <w:b/>
                <w:i/>
                <w:strike w:val="0"/>
                <w:color w:val="auto"/>
                <w:highlight w:val="none"/>
                <w:u w:val="none" w:color="auto"/>
                <w:vertAlign w:val="baseline"/>
              </w:rPr>
              <w:t>calls on the Union to increase its contribution to the United Nations World Food Programme (WFP) and to encourage other international partners to fairly contribute as well, as WFP suffers from an EUR 8 billion shortfall;</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b/>
                <w:i/>
                <w:strike w:val="0"/>
                <w:color w:val="auto"/>
                <w:highlight w:val="none"/>
                <w:u w:val="none" w:color="auto"/>
                <w:vertAlign w:val="baseline"/>
              </w:rPr>
              <w:t>_________________</w:t>
            </w:r>
          </w:p>
        </w:tc>
        <w:tc>
          <w:tcPr>
            <w:tcW w:w="4876" w:type="dxa"/>
            <w:vAlign w:val="top"/>
          </w:tcPr>
          <w:p>
            <w:pPr>
              <w:pStyle w:val="Normal6a"/>
            </w:pPr>
            <w:r>
              <w:rPr>
                <w:b/>
                <w:i/>
                <w:strike w:val="0"/>
                <w:color w:val="auto"/>
                <w:highlight w:val="none"/>
                <w:u w:val="none" w:color="auto"/>
                <w:vertAlign w:val="baseline"/>
              </w:rP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2</w:t>
            </w:r>
            <w:r>
              <w:t xml:space="preserve"> </w:t>
            </w:r>
            <w:r>
              <w:t>WFP Global Operational Response Plan 2022, June Update, https://docs.wfp.org/api/documents/WFP-0000140306/download/?_ga=2.9396989.99022134.1657279887-893066287.1657279887.</w:t>
            </w:r>
          </w:p>
        </w:tc>
        <w:tc>
          <w:tcPr>
            <w:tcW w:w="4876" w:type="dxa"/>
            <w:vAlign w:val="top"/>
          </w:tcPr>
          <w:p>
            <w:pPr>
              <w:pStyle w:val="Normal6a"/>
            </w:pPr>
            <w:r>
              <w:rPr>
                <w:rStyle w:val="Sup"/>
              </w:rPr>
              <w:t>2</w:t>
            </w:r>
            <w:r>
              <w:t xml:space="preserve"> </w:t>
            </w:r>
            <w:r>
              <w:t>WFP Global Operational Response Plan 2022, June Update, https://docs.wfp.org/api/documents/WFP-0000140306/download/?_ga=2.9396989.99022134.1657279887-893066287.1657279887.</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Antoni Comín i Oliveres</w:t>
      </w:r>
      <w:r>
        <w:rPr>
          <w:rStyle w:val="HideTWBExt"/>
        </w:rPr>
        <w:t>&lt;/</w:t>
      </w:r>
      <w:r>
        <w:rPr>
          <w:rStyle w:val="HideTWBExt"/>
        </w:rPr>
        <w:t>Members</w:t>
      </w:r>
      <w:r>
        <w:rPr>
          <w:rStyle w:val="HideTWBExt"/>
        </w:rPr>
        <w:t>&gt;</w:t>
      </w:r>
    </w:p>
    <w:p>
      <w:r>
        <w:rPr>
          <w:rStyle w:val="HideTWBExt"/>
        </w:rPr>
        <w:t>&lt;/</w:t>
      </w:r>
      <w:r>
        <w:rPr>
          <w:rStyle w:val="HideTWBExt"/>
        </w:rPr>
        <w:t>RepeatBlock-By</w:t>
      </w:r>
      <w:r>
        <w:rPr>
          <w:rStyle w:val="HideTWBExt"/>
        </w:rPr>
        <w:t>&gt;</w:t>
      </w:r>
      <w:r>
        <w:rPr>
          <w:rStyle w:val="HideTWBExt"/>
        </w:rPr>
        <w:t>&lt;</w:t>
      </w:r>
      <w:r>
        <w:rPr>
          <w:rStyle w:val="HideTWBExt"/>
        </w:rPr>
        <w:t>Compromise</w:t>
      </w:r>
      <w:r>
        <w:rPr>
          <w:rStyle w:val="HideTWBExt"/>
        </w:rPr>
        <w:t>&gt;</w:t>
      </w:r>
      <w:r>
        <w:t>Compromise Amendment replacing Amendment(s): 6, 13, 14, 15 part A</w:t>
      </w:r>
      <w:r>
        <w:rPr>
          <w:rStyle w:val="HideTWBExt"/>
        </w:rPr>
        <w:t>&lt;/</w:t>
      </w:r>
      <w:r>
        <w:rPr>
          <w:rStyle w:val="HideTWBExt"/>
        </w:rPr>
        <w:t>Compromise</w:t>
      </w:r>
      <w:r>
        <w:rPr>
          <w:rStyle w:val="HideTWBExt"/>
        </w:rPr>
        <w:t>&gt;</w:t>
      </w:r>
    </w:p>
    <w:p>
      <w:pPr>
        <w:pStyle w:val="NormalBold12b"/>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Calls to increase thematic </w:t>
            </w:r>
            <w:r>
              <w:rPr>
                <w:b/>
                <w:i/>
                <w:strike w:val="0"/>
                <w:color w:val="auto"/>
                <w:highlight w:val="none"/>
                <w:u w:val="none" w:color="auto"/>
                <w:vertAlign w:val="baseline"/>
              </w:rPr>
              <w:t>programs</w:t>
            </w:r>
            <w:r>
              <w:t xml:space="preserve"> of the NDICI-Global Europe and to focus on human development investments, in particular through the “People” thematic programme, to address growing inequalities;</w:t>
            </w:r>
          </w:p>
        </w:tc>
        <w:tc>
          <w:tcPr>
            <w:tcW w:w="4876" w:type="dxa"/>
            <w:vAlign w:val="top"/>
          </w:tcPr>
          <w:p>
            <w:pPr>
              <w:pStyle w:val="Normal6a"/>
            </w:pPr>
            <w:r>
              <w:t>3.</w:t>
            </w:r>
            <w:r>
              <w:tab/>
            </w:r>
            <w:r>
              <w:t xml:space="preserve">Calls to increase thematic </w:t>
            </w:r>
            <w:r>
              <w:rPr>
                <w:b/>
                <w:i/>
                <w:strike w:val="0"/>
                <w:color w:val="auto"/>
                <w:highlight w:val="none"/>
                <w:u w:val="none" w:color="auto"/>
                <w:vertAlign w:val="baseline"/>
              </w:rPr>
              <w:t>programmes</w:t>
            </w:r>
            <w:r>
              <w:t xml:space="preserve"> of the NDICI-Global Europe and to focus on human development investments </w:t>
            </w:r>
            <w:r>
              <w:rPr>
                <w:b/>
                <w:i/>
                <w:strike w:val="0"/>
                <w:color w:val="auto"/>
                <w:highlight w:val="none"/>
                <w:u w:val="none" w:color="auto"/>
                <w:vertAlign w:val="baseline"/>
              </w:rPr>
              <w:t>as required by the 20 % budgetary target set in Regulation (EU) 2021/947 of the European Parliament and of the Council</w:t>
            </w:r>
            <w:r>
              <w:rPr>
                <w:rStyle w:val="SupBoldItalic"/>
              </w:rPr>
              <w:t>1a</w:t>
            </w:r>
            <w:r>
              <w:t xml:space="preserve">, </w:t>
            </w:r>
            <w:r>
              <w:rPr>
                <w:b/>
                <w:i/>
                <w:strike w:val="0"/>
                <w:color w:val="auto"/>
                <w:highlight w:val="none"/>
                <w:u w:val="none" w:color="auto"/>
                <w:vertAlign w:val="baseline"/>
              </w:rPr>
              <w:t>and</w:t>
            </w:r>
            <w:r>
              <w:t xml:space="preserve"> in particular through the “People” thematic programme, to address growing inequalities </w:t>
            </w:r>
            <w:r>
              <w:rPr>
                <w:b/>
                <w:i/>
                <w:strike w:val="0"/>
                <w:color w:val="auto"/>
                <w:highlight w:val="none"/>
                <w:u w:val="none" w:color="auto"/>
                <w:vertAlign w:val="baseline"/>
              </w:rPr>
              <w:t>and support women’s, girls’ and children’s rights and needs, including preventing their exposure to gender-based violence, and their participation in building peace</w:t>
            </w:r>
            <w:r>
              <w:t xml:space="preserve">; </w:t>
            </w:r>
            <w:r>
              <w:rPr>
                <w:b/>
                <w:i/>
                <w:strike w:val="0"/>
                <w:color w:val="auto"/>
                <w:highlight w:val="none"/>
                <w:u w:val="none" w:color="auto"/>
                <w:vertAlign w:val="baseline"/>
              </w:rPr>
              <w:t>underlines that that programme should also focus on education and social protection with a gender-responsive approach; reiterates the importance of cultural heritage and encourages the Union and its Member States to facilitate dialogue and share best practices on the protection, conservation and restoration of cultural heritage in the framework of that instrument, in particular of indigenous peoples and local communities, and support agreements for the return of cultural property to its country of origin;</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Style w:val="SupBoldItalic"/>
              </w:rPr>
              <w:t>1a</w:t>
            </w:r>
            <w:r>
              <w:t xml:space="preserve"> </w:t>
            </w:r>
            <w:r>
              <w:rPr>
                <w:b/>
                <w:i/>
                <w:strike w:val="0"/>
                <w:color w:val="auto"/>
                <w:highlight w:val="none"/>
                <w:u w:val="none" w:color="auto"/>
                <w:vertAlign w:val="baseline"/>
              </w:rPr>
              <w:t>Regulation (EU) 2021/947 of the European Parliament and of the Council of 9 June 2021 establishing the Neighbourhood, Development and International Cooperation Instrument – Global Europe, amending and repealing Decision No 466/2014/EU of the European Parliament and of the Council and repealing Regulation (EU) 2017/1601 of the European Parliament and of the Council and Council Regulation (EC, Euratom) No 480/2009 (OJ L 209, 14.6.2021, p. 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Antoni Comín i Oliveres</w:t>
      </w:r>
      <w:r>
        <w:rPr>
          <w:rStyle w:val="HideTWBExt"/>
        </w:rPr>
        <w:t>&lt;/</w:t>
      </w:r>
      <w:r>
        <w:rPr>
          <w:rStyle w:val="HideTWBExt"/>
        </w:rPr>
        <w:t>Members</w:t>
      </w:r>
      <w:r>
        <w:rPr>
          <w:rStyle w:val="HideTWBExt"/>
        </w:rPr>
        <w:t>&gt;</w:t>
      </w:r>
    </w:p>
    <w:p>
      <w:r>
        <w:rPr>
          <w:rStyle w:val="HideTWBExt"/>
        </w:rPr>
        <w:t>&lt;/</w:t>
      </w:r>
      <w:r>
        <w:rPr>
          <w:rStyle w:val="HideTWBExt"/>
        </w:rPr>
        <w:t>RepeatBlock-By</w:t>
      </w:r>
      <w:r>
        <w:rPr>
          <w:rStyle w:val="HideTWBExt"/>
        </w:rPr>
        <w:t>&gt;</w:t>
      </w:r>
      <w:r>
        <w:rPr>
          <w:rStyle w:val="HideTWBExt"/>
        </w:rPr>
        <w:t>&lt;</w:t>
      </w:r>
      <w:r>
        <w:rPr>
          <w:rStyle w:val="HideTWBExt"/>
        </w:rPr>
        <w:t>Compromise</w:t>
      </w:r>
      <w:r>
        <w:rPr>
          <w:rStyle w:val="HideTWBExt"/>
        </w:rPr>
        <w:t>&gt;</w:t>
      </w:r>
      <w:r>
        <w:t>Compromise Amendment replacing Amendment(s): 15 part B, 16 part B, 17, 18</w:t>
      </w:r>
      <w:r>
        <w:rPr>
          <w:rStyle w:val="HideTWBExt"/>
        </w:rPr>
        <w:t>&lt;/</w:t>
      </w:r>
      <w:r>
        <w:rPr>
          <w:rStyle w:val="HideTWBExt"/>
        </w:rPr>
        <w:t>Compromise</w:t>
      </w:r>
      <w:r>
        <w:rPr>
          <w:rStyle w:val="HideTWBExt"/>
        </w:rPr>
        <w:t>&gt;</w:t>
      </w:r>
    </w:p>
    <w:p>
      <w:pPr>
        <w:pStyle w:val="NormalBold12b"/>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Underlines the need to support partner countries to buy and eventually produce vaccines and treatments, as well as to develop more robust health systems and close access gaps to essential health services;</w:t>
            </w:r>
          </w:p>
        </w:tc>
        <w:tc>
          <w:tcPr>
            <w:tcW w:w="4876" w:type="dxa"/>
            <w:vAlign w:val="top"/>
          </w:tcPr>
          <w:p>
            <w:pPr>
              <w:pStyle w:val="Normal6a"/>
            </w:pPr>
            <w:r>
              <w:t>4.</w:t>
            </w:r>
            <w:r>
              <w:tab/>
            </w:r>
            <w:r>
              <w:t xml:space="preserve">Underlines the need to support partner countries to buy and eventually produce vaccines and treatments </w:t>
            </w:r>
            <w:r>
              <w:rPr>
                <w:b/>
                <w:i/>
                <w:strike w:val="0"/>
                <w:color w:val="auto"/>
                <w:highlight w:val="none"/>
                <w:u w:val="none" w:color="auto"/>
                <w:vertAlign w:val="baseline"/>
              </w:rPr>
              <w:t>against COVID-19 and other serious endemic diseases, such as AIDS, tuberculosis, malaria, and to increase support for global programmes and initiatives</w:t>
            </w:r>
            <w:r>
              <w:t>, as well as to develop more robust health systems and close access gaps to essential health services</w:t>
            </w:r>
            <w:r>
              <w:rPr>
                <w:b/>
                <w:i/>
                <w:strike w:val="0"/>
                <w:color w:val="auto"/>
                <w:highlight w:val="none"/>
                <w:u w:val="none" w:color="auto"/>
                <w:vertAlign w:val="baseline"/>
              </w:rPr>
              <w:t>, including sexual and reproductive health and care</w:t>
            </w:r>
            <w:r>
              <w:t xml:space="preserve">; </w:t>
            </w:r>
            <w:r>
              <w:rPr>
                <w:b/>
                <w:i/>
                <w:strike w:val="0"/>
                <w:color w:val="auto"/>
                <w:highlight w:val="none"/>
                <w:u w:val="none" w:color="auto"/>
                <w:vertAlign w:val="baseline"/>
              </w:rPr>
              <w:t>points out that 52 countries are unlikely to achieve pre-COVID government health spending over the next 5 years; underlines that development aid should primarily be dedicated to deliver “horizontal” universal health care system coverage through a holistic and rights-based approach, which entails i.a. addressing fully the multidimensional nature of health (with close links to gender, food security and nutrition, water and sanitation, education and poverty); stresses that universal public health coverage must be associated with the expansion of the coverage of social health protection mechanisms during and beyond crises;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Antoni Comín i Oliveres</w:t>
      </w:r>
      <w:r>
        <w:rPr>
          <w:rStyle w:val="HideTWBExt"/>
        </w:rPr>
        <w:t>&lt;/</w:t>
      </w:r>
      <w:r>
        <w:rPr>
          <w:rStyle w:val="HideTWBExt"/>
        </w:rPr>
        <w:t>Members</w:t>
      </w:r>
      <w:r>
        <w:rPr>
          <w:rStyle w:val="HideTWBExt"/>
        </w:rPr>
        <w:t>&gt;</w:t>
      </w:r>
    </w:p>
    <w:p>
      <w:r>
        <w:rPr>
          <w:rStyle w:val="HideTWBExt"/>
        </w:rPr>
        <w:t>&lt;/</w:t>
      </w:r>
      <w:r>
        <w:rPr>
          <w:rStyle w:val="HideTWBExt"/>
        </w:rPr>
        <w:t>RepeatBlock-By</w:t>
      </w:r>
      <w:r>
        <w:rPr>
          <w:rStyle w:val="HideTWBExt"/>
        </w:rPr>
        <w:t>&gt;</w:t>
      </w:r>
      <w:r>
        <w:rPr>
          <w:rStyle w:val="HideTWBExt"/>
        </w:rPr>
        <w:t>&lt;</w:t>
      </w:r>
      <w:r>
        <w:rPr>
          <w:rStyle w:val="HideTWBExt"/>
        </w:rPr>
        <w:t>Compromise</w:t>
      </w:r>
      <w:r>
        <w:rPr>
          <w:rStyle w:val="HideTWBExt"/>
        </w:rPr>
        <w:t>&gt;</w:t>
      </w:r>
      <w:r>
        <w:t>Compromise Amendment replacing Amendment(s): 19 part A, 20, 21, 23</w:t>
      </w:r>
      <w:r>
        <w:rPr>
          <w:rStyle w:val="HideTWBExt"/>
        </w:rPr>
        <w:t>&lt;/</w:t>
      </w:r>
      <w:r>
        <w:rPr>
          <w:rStyle w:val="HideTWBExt"/>
        </w:rPr>
        <w:t>Compromise</w:t>
      </w:r>
      <w:r>
        <w:rPr>
          <w:rStyle w:val="HideTWBExt"/>
        </w:rPr>
        <w:t>&gt;</w:t>
      </w:r>
    </w:p>
    <w:p>
      <w:pPr>
        <w:pStyle w:val="NormalBold12b"/>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Points out the need to finance climate change adaptation and mitigation measures in partner countries through the “Planet” thematic programme, which should receive adequate funding;</w:t>
            </w:r>
          </w:p>
        </w:tc>
        <w:tc>
          <w:tcPr>
            <w:tcW w:w="4876" w:type="dxa"/>
            <w:vAlign w:val="top"/>
          </w:tcPr>
          <w:p>
            <w:pPr>
              <w:pStyle w:val="Normal6a"/>
            </w:pPr>
            <w:r>
              <w:t>5.</w:t>
            </w:r>
            <w:r>
              <w:tab/>
            </w:r>
            <w:r>
              <w:t xml:space="preserve">Points out the need to finance climate change adaptation and mitigation measures </w:t>
            </w:r>
            <w:r>
              <w:rPr>
                <w:b/>
                <w:i/>
                <w:strike w:val="0"/>
                <w:color w:val="auto"/>
                <w:highlight w:val="none"/>
                <w:u w:val="none" w:color="auto"/>
                <w:vertAlign w:val="baseline"/>
              </w:rPr>
              <w:t>as well as actions for the protection of biodiversity</w:t>
            </w:r>
            <w:r>
              <w:t xml:space="preserve"> in partner countries through the “Planet” thematic programme, which should receive adequate funding </w:t>
            </w:r>
            <w:r>
              <w:rPr>
                <w:b/>
                <w:i/>
                <w:strike w:val="0"/>
                <w:color w:val="auto"/>
                <w:highlight w:val="none"/>
                <w:u w:val="none" w:color="auto"/>
                <w:vertAlign w:val="baseline"/>
              </w:rPr>
              <w:t>in view of making a decisive contribution to the goal of dedicating USD 100 billion yearly to climate change adaptation in developing countries, as agreed in the COP 2009 in Copenhagen</w:t>
            </w:r>
            <w:r>
              <w:t xml:space="preserve">; </w:t>
            </w:r>
            <w:r>
              <w:rPr>
                <w:b/>
                <w:i/>
                <w:strike w:val="0"/>
                <w:color w:val="auto"/>
                <w:highlight w:val="none"/>
                <w:u w:val="none" w:color="auto"/>
                <w:vertAlign w:val="baseline"/>
              </w:rPr>
              <w:t>calls for an increase in appropriations for the protection of biodiversity under NDICI-Global Europe given the fact that reaching the 2026 and 2027 multiannual financial framework (MFF) biodiversity targets remains insufficient; underlines that the effects of climate change are intersectional and affect vulnerable groups the most, which must be accounted for when designing interventions; points out the need to coherently address the targeted promotion of renewable energy partnerships and expansion, including renewable hydrogen, while respecting energy sovereignty and natural resources of partner countries and the prioritisation of their energy needs;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Antoni Comín i Oliveres</w:t>
      </w:r>
      <w:r>
        <w:rPr>
          <w:rStyle w:val="HideTWBExt"/>
        </w:rPr>
        <w:t>&lt;/</w:t>
      </w:r>
      <w:r>
        <w:rPr>
          <w:rStyle w:val="HideTWBExt"/>
        </w:rPr>
        <w:t>Members</w:t>
      </w:r>
      <w:r>
        <w:rPr>
          <w:rStyle w:val="HideTWBExt"/>
        </w:rPr>
        <w:t>&gt;</w:t>
      </w:r>
    </w:p>
    <w:p>
      <w:r>
        <w:rPr>
          <w:rStyle w:val="HideTWBExt"/>
        </w:rPr>
        <w:t>&lt;/</w:t>
      </w:r>
      <w:r>
        <w:rPr>
          <w:rStyle w:val="HideTWBExt"/>
        </w:rPr>
        <w:t>RepeatBlock-By</w:t>
      </w:r>
      <w:r>
        <w:rPr>
          <w:rStyle w:val="HideTWBExt"/>
        </w:rPr>
        <w:t>&gt;</w:t>
      </w:r>
      <w:r>
        <w:rPr>
          <w:rStyle w:val="HideTWBExt"/>
        </w:rPr>
        <w:t>&lt;</w:t>
      </w:r>
      <w:r>
        <w:rPr>
          <w:rStyle w:val="HideTWBExt"/>
        </w:rPr>
        <w:t>Compromise</w:t>
      </w:r>
      <w:r>
        <w:rPr>
          <w:rStyle w:val="HideTWBExt"/>
        </w:rPr>
        <w:t>&gt;</w:t>
      </w:r>
      <w:r>
        <w:t>Compromise Amendment replacing Amendment(s): 24, 25, 26</w:t>
      </w:r>
      <w:r>
        <w:rPr>
          <w:rStyle w:val="HideTWBExt"/>
        </w:rPr>
        <w:t>&lt;/</w:t>
      </w:r>
      <w:r>
        <w:rPr>
          <w:rStyle w:val="HideTWBExt"/>
        </w:rPr>
        <w:t>Compromise</w:t>
      </w:r>
      <w:r>
        <w:rPr>
          <w:rStyle w:val="HideTWBExt"/>
        </w:rPr>
        <w:t>&gt;</w:t>
      </w:r>
    </w:p>
    <w:p>
      <w:pPr>
        <w:pStyle w:val="NormalBold12b"/>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5 a.</w:t>
            </w:r>
            <w:r>
              <w:tab/>
            </w:r>
            <w:r>
              <w:rPr>
                <w:b/>
                <w:i/>
                <w:strike w:val="0"/>
                <w:color w:val="auto"/>
                <w:highlight w:val="none"/>
                <w:u w:val="none" w:color="auto"/>
                <w:vertAlign w:val="baseline"/>
              </w:rPr>
              <w:t>Reiterates the need to increase support for civil society organisations and human rights defenders who are facing growing legal and administrative harassment and criminalisation and to ensure adequate support to sexual and reproductive health and rights, gender equality and the empowerment of women, girls, LGBTIQ+ people, human right defenders, minorities and other marginalised populations; calls on the Union to act and pursue an intersectional development policy that empowers women, including the full implementation of the EU Gender Action Plan III;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Antoni Comín i Oliveres</w:t>
      </w:r>
      <w:r>
        <w:rPr>
          <w:rStyle w:val="HideTWBExt"/>
        </w:rPr>
        <w:t>&lt;/</w:t>
      </w:r>
      <w:r>
        <w:rPr>
          <w:rStyle w:val="HideTWBExt"/>
        </w:rPr>
        <w:t>Members</w:t>
      </w:r>
      <w:r>
        <w:rPr>
          <w:rStyle w:val="HideTWBExt"/>
        </w:rPr>
        <w:t>&gt;</w:t>
      </w:r>
    </w:p>
    <w:p>
      <w:r>
        <w:rPr>
          <w:rStyle w:val="HideTWBExt"/>
        </w:rPr>
        <w:t>&lt;/</w:t>
      </w:r>
      <w:r>
        <w:rPr>
          <w:rStyle w:val="HideTWBExt"/>
        </w:rPr>
        <w:t>RepeatBlock-By</w:t>
      </w:r>
      <w:r>
        <w:rPr>
          <w:rStyle w:val="HideTWBExt"/>
        </w:rPr>
        <w:t>&gt;</w:t>
      </w:r>
      <w:r>
        <w:rPr>
          <w:rStyle w:val="HideTWBExt"/>
        </w:rPr>
        <w:t>&lt;</w:t>
      </w:r>
      <w:r>
        <w:rPr>
          <w:rStyle w:val="HideTWBExt"/>
        </w:rPr>
        <w:t>Compromise</w:t>
      </w:r>
      <w:r>
        <w:rPr>
          <w:rStyle w:val="HideTWBExt"/>
        </w:rPr>
        <w:t>&gt;</w:t>
      </w:r>
      <w:r>
        <w:t>Compromise Amendment replacing Amendment(s): 4, 5, 34, 35, 36</w:t>
      </w:r>
      <w:r>
        <w:rPr>
          <w:rStyle w:val="HideTWBExt"/>
        </w:rPr>
        <w:t>&lt;/</w:t>
      </w:r>
      <w:r>
        <w:rPr>
          <w:rStyle w:val="HideTWBExt"/>
        </w:rPr>
        <w:t>Compromise</w:t>
      </w:r>
      <w:r>
        <w:rPr>
          <w:rStyle w:val="HideTWBExt"/>
        </w:rPr>
        <w:t>&gt;</w:t>
      </w:r>
    </w:p>
    <w:p>
      <w:pPr>
        <w:pStyle w:val="NormalBold12b"/>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Is alarmed that there is no margin under Heading 6 in draft budget 2023, which underscores that the multiannual financial framework does not provide sufficient means for Union’s external action and needs to be revised</w:t>
            </w:r>
            <w:r>
              <w:rPr>
                <w:b/>
                <w:i/>
                <w:strike w:val="0"/>
                <w:color w:val="auto"/>
                <w:highlight w:val="none"/>
                <w:u w:val="none" w:color="auto"/>
                <w:vertAlign w:val="baseline"/>
              </w:rPr>
              <w:t>.</w:t>
            </w:r>
          </w:p>
        </w:tc>
        <w:tc>
          <w:tcPr>
            <w:tcW w:w="4876" w:type="dxa"/>
            <w:vAlign w:val="top"/>
          </w:tcPr>
          <w:p>
            <w:pPr>
              <w:pStyle w:val="Normal6a"/>
            </w:pPr>
            <w:r>
              <w:t>6.</w:t>
            </w:r>
            <w:r>
              <w:tab/>
            </w:r>
            <w:r>
              <w:t>Is alarmed that there is no margin under Heading 6 in draft budget 2023, which underscores that the multiannual financial framework does not provide sufficient means for Union’s external action and needs to be revised</w:t>
            </w:r>
            <w:r>
              <w:rPr>
                <w:b/>
                <w:i/>
                <w:strike w:val="0"/>
                <w:color w:val="auto"/>
                <w:highlight w:val="none"/>
                <w:u w:val="none" w:color="auto"/>
                <w:vertAlign w:val="baseline"/>
              </w:rPr>
              <w:t>; urges the Member States to agree to a significant increase in Heading 6 to an extent that is ambitious enough to address the current challenges of the Union's external action; calls for an urgent comprehensive revision of the MFF to increase overall ceilings under Heading 6 and to improve the functioning of the Solidarity and Emergency Aid Reserve (SEAR); insists that the SEAR cushion (amounting to 25 % of the instrument) be allocated strictly on a needs basis and notes with concern the uneven mobilisation of the SEAR; calls for particular attention to be paid to third countries’ needs to ensure that funds from the SEAR be mobilised for humanitarian crises outside the Union; underlines the need to ensure predictability of humanitarian aid by guaranteeing appropriate level of commitment appropriations;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Antoni Comín i Oliveres</w:t>
      </w:r>
      <w:r>
        <w:rPr>
          <w:rStyle w:val="HideTWBExt"/>
        </w:rPr>
        <w:t>&lt;/</w:t>
      </w:r>
      <w:r>
        <w:rPr>
          <w:rStyle w:val="HideTWBExt"/>
        </w:rPr>
        <w:t>Members</w:t>
      </w:r>
      <w:r>
        <w:rPr>
          <w:rStyle w:val="HideTWBExt"/>
        </w:rPr>
        <w:t>&gt;</w:t>
      </w:r>
    </w:p>
    <w:p>
      <w:r>
        <w:rPr>
          <w:rStyle w:val="HideTWBExt"/>
        </w:rPr>
        <w:t>&lt;/</w:t>
      </w:r>
      <w:r>
        <w:rPr>
          <w:rStyle w:val="HideTWBExt"/>
        </w:rPr>
        <w:t>RepeatBlock-By</w:t>
      </w:r>
      <w:r>
        <w:rPr>
          <w:rStyle w:val="HideTWBExt"/>
        </w:rPr>
        <w:t>&gt;</w:t>
      </w:r>
      <w:r>
        <w:rPr>
          <w:rStyle w:val="HideTWBExt"/>
        </w:rPr>
        <w:t>&lt;</w:t>
      </w:r>
      <w:r>
        <w:rPr>
          <w:rStyle w:val="HideTWBExt"/>
        </w:rPr>
        <w:t>Compromise</w:t>
      </w:r>
      <w:r>
        <w:rPr>
          <w:rStyle w:val="HideTWBExt"/>
        </w:rPr>
        <w:t>&gt;</w:t>
      </w:r>
      <w:r>
        <w:t>Compromise Amendment replacing Amendment(s): 12, 33</w:t>
      </w:r>
      <w:r>
        <w:rPr>
          <w:rStyle w:val="HideTWBExt"/>
        </w:rPr>
        <w:t>&lt;/</w:t>
      </w:r>
      <w:r>
        <w:rPr>
          <w:rStyle w:val="HideTWBExt"/>
        </w:rPr>
        <w:t>Compromise</w:t>
      </w:r>
      <w:r>
        <w:rPr>
          <w:rStyle w:val="HideTWBExt"/>
        </w:rPr>
        <w:t>&gt;</w:t>
      </w:r>
    </w:p>
    <w:p>
      <w:pPr>
        <w:pStyle w:val="NormalBold12b"/>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6 a.</w:t>
            </w:r>
            <w:r>
              <w:tab/>
            </w:r>
            <w:r>
              <w:rPr>
                <w:b/>
                <w:i/>
                <w:strike w:val="0"/>
                <w:color w:val="auto"/>
                <w:highlight w:val="none"/>
                <w:u w:val="none" w:color="auto"/>
                <w:vertAlign w:val="baseline"/>
              </w:rPr>
              <w:t>Is deeply concerned with the stalling implementation of the SDGs and the estimated annual SDG financing gap of USD 3.7 trillion; reiterates its call to urgently come up with a designated plan to finance the SDGs, including clearly defined quantifiable targets allowing for the monitoring of SDG-related spending under the Union budget and calls to enhance financial support by the Union and its international partners to multilateral systems and international partner organisations in order to ensure contributions are made in core resources;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r>
        <w:rPr>
          <w:rStyle w:val="HideTWBExt"/>
        </w:rPr>
        <w:t>&lt;/</w:t>
      </w:r>
      <w:r>
        <w:rPr>
          <w:rStyle w:val="HideTWBExt"/>
        </w:rPr>
        <w:t>RepeatBlock-Amend</w:t>
      </w:r>
      <w:r>
        <w:rPr>
          <w:rStyle w:val="HideTWBExt"/>
        </w:rPr>
        <w:t>&gt;</w:t>
      </w:r>
    </w:p>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w:t>
    </w:r>
    <w:r>
      <w:rPr>
        <w:rStyle w:val="HideTWBExt"/>
      </w:rPr>
      <w:t>NoPE</w:t>
    </w:r>
    <w:r>
      <w:rPr>
        <w:rStyle w:val="HideTWBExt"/>
      </w:rPr>
      <w:t>&gt;</w:t>
    </w:r>
    <w:r>
      <w:t>736.596</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10</w:t>
    </w:r>
    <w:r>
      <w:fldChar w:fldCharType="end"/>
    </w:r>
    <w:r>
      <w:t>/</w:t>
    </w:r>
    <w:r>
      <w:fldChar w:fldCharType="begin"/>
    </w:r>
    <w:r>
      <w:instrText>NUMPAGES</w:instrText>
    </w:r>
    <w:r>
      <w:fldChar w:fldCharType="separate"/>
    </w:r>
    <w:r>
      <w:t>10</w:t>
    </w:r>
    <w:r>
      <w:fldChar w:fldCharType="end"/>
    </w:r>
    <w:r>
      <w:tab/>
    </w:r>
    <w:r>
      <w:rPr>
        <w:rStyle w:val="HideTWBExt"/>
      </w:rPr>
      <w:t>&lt;</w:t>
    </w:r>
    <w:r>
      <w:rPr>
        <w:rStyle w:val="HideTWBExt"/>
      </w:rPr>
      <w:t>PathFdR</w:t>
    </w:r>
    <w:r>
      <w:rPr>
        <w:rStyle w:val="HideTWBExt"/>
      </w:rPr>
      <w:t>&gt;</w:t>
    </w:r>
    <w:r>
      <w:t>AM\1263440EN.docx</w:t>
    </w:r>
    <w:r>
      <w:rPr>
        <w:rStyle w:val="HideTWBExt"/>
      </w:rPr>
      <w:t>&lt;/</w:t>
    </w:r>
    <w:r>
      <w:rPr>
        <w:rStyle w:val="HideTWBExt"/>
      </w:rPr>
      <w:t>PathFdR</w:t>
    </w:r>
    <w:r>
      <w:rPr>
        <w:rStyle w:val="HideTWBExt"/>
      </w:rPr>
      <w:t>&gt;</w:t>
    </w:r>
  </w:p>
  <w:p>
    <w:pPr>
      <w:pStyle w:val="EPFooter2"/>
    </w:pP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AM\1263440EN.docx</w:t>
    </w:r>
    <w:r>
      <w:rPr>
        <w:rStyle w:val="HideTWBExt"/>
      </w:rPr>
      <w:t>&lt;/</w:t>
    </w:r>
    <w:r>
      <w:rPr>
        <w:rStyle w:val="HideTWBExt"/>
      </w:rPr>
      <w:t>PathFdR</w:t>
    </w:r>
    <w:r>
      <w:rPr>
        <w:rStyle w:val="HideTWBExt"/>
      </w:rPr>
      <w:t>&gt;</w:t>
    </w:r>
    <w:r>
      <w:tab/>
    </w:r>
    <w:r>
      <w:fldChar w:fldCharType="begin"/>
    </w:r>
    <w:r>
      <w:instrText>PAGE</w:instrText>
    </w:r>
    <w:r>
      <w:fldChar w:fldCharType="separate"/>
    </w:r>
    <w:r>
      <w:t>9</w:t>
    </w:r>
    <w:r>
      <w:fldChar w:fldCharType="end"/>
    </w:r>
    <w:r>
      <w:t>/</w:t>
    </w:r>
    <w:r>
      <w:fldChar w:fldCharType="begin"/>
    </w:r>
    <w:r>
      <w:instrText>NUMPAGES</w:instrText>
    </w:r>
    <w:r>
      <w:fldChar w:fldCharType="separate"/>
    </w:r>
    <w:r>
      <w:t>10</w:t>
    </w:r>
    <w:r>
      <w:fldChar w:fldCharType="end"/>
    </w:r>
    <w:r>
      <w:tab/>
    </w:r>
    <w:r>
      <w:t>PE</w:t>
    </w:r>
    <w:r>
      <w:rPr>
        <w:rStyle w:val="HideTWBExt"/>
      </w:rPr>
      <w:t>&lt;</w:t>
    </w:r>
    <w:r>
      <w:rPr>
        <w:rStyle w:val="HideTWBExt"/>
      </w:rPr>
      <w:t>NoPE</w:t>
    </w:r>
    <w:r>
      <w:rPr>
        <w:rStyle w:val="HideTWBExt"/>
      </w:rPr>
      <w:t>&gt;</w:t>
    </w:r>
    <w:r>
      <w:t>736.596</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ab/>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AM\1263440EN.docx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736.596</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otto"/>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13;_x000a_{\f34\fbidi \froman\fcharset0\fprq2{\*\panose 02040503050406030204}Cambria Math;}{\flomajor\f31500\fbidi \froman\fcharset0\fprq2{\*\panose 02020603050405020304}Times New Roman;}&#13;_x000a_{\fdbmajor\f31501\fbidi \froman\fcharset0\fprq2{\*\panose 02020603050405020304}Times New Roman;}{\fhimajor\f31502\fbidi \fswiss\fcharset0\fprq2{\*\panose 020f0302020204030204}Calibri Light;}&#13;_x000a_{\fbimajor\f31503\fbidi \froman\fcharset0\fprq2{\*\panose 02020603050405020304}Times New Roman;}{\flominor\f31504\fbidi \froman\fcharset0\fprq2{\*\panose 02020603050405020304}Times New Roman;}&#13;_x000a_{\fdbminor\f31505\fbidi \froman\fcharset0\fprq2{\*\panose 02020603050405020304}Times New Roman;}{\fhiminor\f31506\fbidi \fswiss\fcharset0\fprq2{\*\panose 020f0502020204030204}Calibri;}&#13;_x000a_{\fbiminor\f31507\fbidi \froman\fcharset0\fprq2{\*\panose 02020603050405020304}Times New Roman;}{\f276\fbidi \froman\fcharset238\fprq2 Times New Roman CE;}{\f277\fbidi \froman\fcharset204\fprq2 Times New Roman Cyr;}&#13;_x000a_{\f279\fbidi \froman\fcharset161\fprq2 Times New Roman Greek;}{\f280\fbidi \froman\fcharset162\fprq2 Times New Roman Tur;}{\f281\fbidi \froman\fcharset177\fprq2 Times New Roman (Hebrew);}{\f282\fbidi \froman\fcharset178\fprq2 Times New Roman (Arabic);}&#13;_x000a_{\f283\fbidi \froman\fcharset186\fprq2 Times New Roman Baltic;}{\f284\fbidi \froman\fcharset163\fprq2 Times New Roman (Vietnamese);}{\f286\fbidi \fswiss\fcharset238\fprq2 Arial CE;}{\f287\fbidi \fswiss\fcharset204\fprq2 Arial Cyr;}&#13;_x000a_{\f289\fbidi \fswiss\fcharset161\fprq2 Arial Greek;}{\f290\fbidi \fswiss\fcharset162\fprq2 Arial Tur;}{\f291\fbidi \fswiss\fcharset177\fprq2 Arial (Hebrew);}{\f292\fbidi \fswiss\fcharset178\fprq2 Arial (Arabic);}&#13;_x000a_{\f293\fbidi \fswiss\fcharset186\fprq2 Arial Baltic;}{\f294\fbidi \fswiss\fcharset163\fprq2 Arial (Vietnamese);}{\f616\fbidi \froman\fcharset238\fprq2 Cambria Math CE;}{\f617\fbidi \froman\fcharset204\fprq2 Cambria Math Cyr;}&#13;_x000a_{\f619\fbidi \froman\fcharset161\fprq2 Cambria Math Greek;}{\f620\fbidi \froman\fcharset162\fprq2 Cambria Math Tur;}{\f623\fbidi \froman\fcharset186\fprq2 Cambria Math Baltic;}{\f624\fbidi \froman\fcharset163\fprq2 Cambria Math (Vietnamese);}&#13;_x000a_{\flomajor\f31508\fbidi \froman\fcharset238\fprq2 Times New Roman CE;}{\flomajor\f31509\fbidi \froman\fcharset204\fprq2 Times New Roman Cyr;}{\flomajor\f31511\fbidi \froman\fcharset161\fprq2 Times New Roman Greek;}&#13;_x000a_{\flomajor\f31512\fbidi \froman\fcharset162\fprq2 Times New Roman Tur;}{\flomajor\f31513\fbidi \froman\fcharset177\fprq2 Times New Roman (Hebrew);}{\flomajor\f31514\fbidi \froman\fcharset178\fprq2 Times New Roman (Arabic);}&#13;_x000a_{\flomajor\f31515\fbidi \froman\fcharset186\fprq2 Times New Roman Baltic;}{\flomajor\f31516\fbidi \froman\fcharset163\fprq2 Times New Roman (Vietnamese);}{\fdbmajor\f31518\fbidi \froman\fcharset238\fprq2 Times New Roman CE;}&#13;_x000a_{\fdbmajor\f31519\fbidi \froman\fcharset204\fprq2 Times New Roman Cyr;}{\fdbmajor\f31521\fbidi \froman\fcharset161\fprq2 Times New Roman Greek;}{\fdbmajor\f31522\fbidi \froman\fcharset162\fprq2 Times New Roman Tur;}&#13;_x000a_{\fdbmajor\f31523\fbidi \froman\fcharset177\fprq2 Times New Roman (Hebrew);}{\fdbmajor\f31524\fbidi \froman\fcharset178\fprq2 Times New Roman (Arabic);}{\fdbmajor\f31525\fbidi \froman\fcharset186\fprq2 Times New Roman Baltic;}&#13;_x000a_{\fdbmajor\f31526\fbidi \froman\fcharset163\fprq2 Times New Roman (Vietnamese);}{\fhimajor\f31528\fbidi \fswiss\fcharset238\fprq2 Calibri Light CE;}{\fhimajor\f31529\fbidi \fswiss\fcharset204\fprq2 Calibri Light Cyr;}&#13;_x000a_{\fhimajor\f31531\fbidi \fswiss\fcharset161\fprq2 Calibri Light Greek;}{\fhimajor\f31532\fbidi \fswiss\fcharset162\fprq2 Calibri Light Tur;}{\fhimajor\f31533\fbidi \fswiss\fcharset177\fprq2 Calibri Light (Hebrew);}&#13;_x000a_{\fhimajor\f31534\fbidi \fswiss\fcharset178\fprq2 Calibri Light (Arabic);}{\fhimajor\f31535\fbidi \fswiss\fcharset186\fprq2 Calibri Light Baltic;}{\fhimajor\f31536\fbidi \fswiss\fcharset163\fprq2 Calibri Light (Vietnamese);}&#13;_x000a_{\fbimajor\f31538\fbidi \froman\fcharset238\fprq2 Times New Roman CE;}{\fbimajor\f31539\fbidi \froman\fcharset204\fprq2 Times New Roman Cyr;}{\fbimajor\f31541\fbidi \froman\fcharset161\fprq2 Times New Roman Greek;}&#13;_x000a_{\fbimajor\f31542\fbidi \froman\fcharset162\fprq2 Times New Roman Tur;}{\fbimajor\f31543\fbidi \froman\fcharset177\fprq2 Times New Roman (Hebrew);}{\fbimajor\f31544\fbidi \froman\fcharset178\fprq2 Times New Roman (Arabic);}&#13;_x000a_{\fbimajor\f31545\fbidi \froman\fcharset186\fprq2 Times New Roman Baltic;}{\fbimajor\f31546\fbidi \froman\fcharset163\fprq2 Times New Roman (Vietnamese);}{\flominor\f31548\fbidi \froman\fcharset238\fprq2 Times New Roman CE;}&#13;_x000a_{\flominor\f31549\fbidi \froman\fcharset204\fprq2 Times New Roman Cyr;}{\flominor\f31551\fbidi \froman\fcharset161\fprq2 Times New Roman Greek;}{\flominor\f31552\fbidi \froman\fcharset162\fprq2 Times New Roman Tur;}&#13;_x000a_{\flominor\f31553\fbidi \froman\fcharset177\fprq2 Times New Roman (Hebrew);}{\flominor\f31554\fbidi \froman\fcharset178\fprq2 Times New Roman (Arabic);}{\flominor\f31555\fbidi \froman\fcharset186\fprq2 Times New Roman Baltic;}&#13;_x000a_{\flominor\f31556\fbidi \froman\fcharset163\fprq2 Times New Roman (Vietnamese);}{\fdbminor\f31558\fbidi \froman\fcharset238\fprq2 Times New Roman CE;}{\fdbminor\f31559\fbidi \froman\fcharset204\fprq2 Times New Roman Cyr;}&#13;_x000a_{\fdbminor\f31561\fbidi \froman\fcharset161\fprq2 Times New Roman Greek;}{\fdbminor\f31562\fbidi \froman\fcharset162\fprq2 Times New Roman Tur;}{\fdbminor\f31563\fbidi \froman\fcharset177\fprq2 Times New Roman (Hebrew);}&#13;_x000a_{\fdbminor\f31564\fbidi \froman\fcharset178\fprq2 Times New Roman (Arabic);}{\fdbminor\f31565\fbidi \froman\fcharset186\fprq2 Times New Roman Baltic;}{\fdbminor\f31566\fbidi \froman\fcharset163\fprq2 Times New Roman (Vietnamese);}&#13;_x000a_{\fhiminor\f31568\fbidi \fswiss\fcharset238\fprq2 Calibri CE;}{\fhiminor\f31569\fbidi \fswiss\fcharset204\fprq2 Calibri Cyr;}{\fhiminor\f31571\fbidi \fswiss\fcharset161\fprq2 Calibri Greek;}{\fhiminor\f31572\fbidi \fswiss\fcharset162\fprq2 Calibri Tur;}&#13;_x000a_{\fhiminor\f31573\fbidi \fswiss\fcharset177\fprq2 Calibri (Hebrew);}{\fhiminor\f31574\fbidi \fswiss\fcharset178\fprq2 Calibri (Arabic);}{\fhiminor\f31575\fbidi \fswiss\fcharset186\fprq2 Calibri Baltic;}&#13;_x000a_{\fhiminor\f31576\fbidi \fswiss\fcharset163\fprq2 Calibri (Vietnamese);}{\fbiminor\f31578\fbidi \froman\fcharset238\fprq2 Times New Roman CE;}{\fbiminor\f31579\fbidi \froman\fcharset204\fprq2 Times New Roman Cyr;}&#13;_x000a_{\fbiminor\f31581\fbidi \froman\fcharset161\fprq2 Times New Roman Greek;}{\fbiminor\f31582\fbidi \froman\fcharset162\fprq2 Times New Roman Tur;}{\fbiminor\f31583\fbidi \froman\fcharset177\fprq2 Times New Roman (Hebrew);}&#13;_x000a_{\fbiminor\f31584\fbidi \froman\fcharset178\fprq2 Times New Roman (Arabic);}{\fbiminor\f31585\fbidi \froman\fcharset186\fprq2 Times New Roman Baltic;}{\fbiminor\f31586\fbidi \froman\fcharset163\fprq2 Times New Roman (Vietnamese);}}&#13;_x000a_{\colortbl;\red0\green0\blue0;\red0\green0\blue255;\red0\green255\blue255;\red0\green255\blue0;\red255\green0\blue255;\red255\green0\blue0;\red255\green255\blue0;\red255\green255\blue255;\red0\green0\blue128;\red0\green128\blue128;\red0\green128\blue0;&#13;_x000a_\red128\green0\blue128;\red128\green0\blue0;\red128\green128\blue0;\red128\green128\blue128;\red192\green192\blue192;}{\*\defchp }{\*\defpap \ql \li0\ri0\widctlpar\wrapdefault\aspalpha\aspnum\faauto\adjustright\rin0\lin0\itap0 }\noqfpromote {\stylesheet{&#13;_x000a_\ql \li0\ri0\widctlpar\wrapdefault\aspalpha\aspnum\faauto\adjustright\rin0\lin0\itap0 \rtlch\fcs1 \af0\afs20\alang1025 \ltrch\fcs0 \fs24\lang2057\langfe2057\cgrid\langnp2057\langfenp2057 \snext0 \sqformat \spriority0 Normal;}{\*\cs10 \additive &#13;_x000a_\ssemihidden \spriority0 Default Paragraph Font;}{\*\ts11\tsrowd\trftsWidthB3\trpaddl108\trpaddr108\trpaddfl3\trpaddft3\trpaddfb3\trpaddfr3\tblind0\tblindtype3\tsvertalt\tsbrdrt\tsbrdrl\tsbrdrb\tsbrdrr\tsbrdrdgl\tsbrdrdgr\tsbrdrh\tsbrdrv &#13;_x000a_\ql \li0\ri0\widctlpar\wrapdefault\aspalpha\aspnum\faauto\adjustright\rin0\lin0\itap0 \rtlch\fcs1 \af0\afs20\alang1025 \ltrch\fcs0 \fs20\lang2057\langfe2057\cgrid\langnp2057\langfenp2057 \snext11 \ssemihidden \spriority0 Normal Table;}{\*\cs15 \additive &#13;_x000a_\v\f1\fs20\cf9\lang1024\langfe1024\noproof \spriority0 \styrsid941567 HideTWBExt;}{\s16\qr \li0\ri0\sb240\sa240\nowidctlpar\wrapdefault\aspalpha\aspnum\faauto\adjustright\rin0\lin0\itap0 \rtlch\fcs1 \af0\afs20\alang1025 \ltrch\fcs0 &#13;_x000a_\fs24\lang2057\langfe2057\cgrid\langnp2057\langfenp2057 \sbasedon0 \snext16 \spriority0 \styrsid941567 AmOrLang;}{\s17\ql \li0\ri0\sa120\nowidctlpar\wrapdefault\aspalpha\aspnum\faauto\adjustright\rin0\lin0\itap0 \rtlch\fcs1 \af0\afs20\alang1025 &#13;_x000a_\ltrch\fcs0 \fs24\lang2057\langfe2057\cgrid\langnp2057\langfenp2057 \sbasedon0 \snext17 \spriority0 \styrsid941567 Normal6a;}{\s18\ql \li0\ri0\nowidctlpar\wrapdefault\aspalpha\aspnum\faauto\adjustright\rin0\lin0\itap0 \rtlch\fcs1 \af0\afs20\alang1025 &#13;_x000a_\ltrch\fcs0 \b\fs24\lang2057\langfe2057\cgrid\langnp2057\langfenp2057 \sbasedon0 \snext18 \spriority0 \styrsid941567 NormalBold;}{\s19\qc \li0\ri0\sa240\nowidctlpar\wrapdefault\aspalpha\aspnum\faauto\adjustright\rin0\lin0\itap0 \rtlch\fcs1 &#13;_x000a_\af0\afs20\alang1025 \ltrch\fcs0 \i\fs24\lang2057\langfe2057\cgrid\langnp2057\langfenp2057 \sbasedon0 \snext19 \spriority0 \styrsid941567 AmColumnHeading;}{\s20\ql \li0\ri0\sb240\nowidctlpar&#13;_x000a_\tx879\tx936\tx1021\tx1077\tx1134\tx1191\tx1247\tx1304\tx1361\tx1418\tx1474\tx1531\tx1588\tx1644\tx1701\tx1758\tx1814\tx1871\tx2070\tx2126\tx3374\tx3430\wrapdefault\aspalpha\aspnum\faauto\adjustright\rin0\lin0\itap0 \rtlch\fcs1 \af0\afs20\alang1025 &#13;_x000a_\ltrch\fcs0 \b\fs24\lang2057\langfe2057\cgrid\langnp2057\langfenp2057 \sbasedon0 \snext20 \spriority0 \styrsid941567 AmNumberTabs;}{\s21\ql \li0\ri0\sb240\nowidctlpar\wrapdefault\aspalpha\aspnum\faauto\adjustright\rin0\lin0\itap0 \rtlch\fcs1 &#13;_x000a_\af0\afs20\alang1025 \ltrch\fcs0 \b\fs24\lang2057\langfe2057\cgrid\langnp2057\langfenp2057 \sbasedon0 \snext21 \spriority0 \styrsid941567 NormalBold12b;}}{\*\rsidtbl \rsid24658\rsid358857\rsid735077\rsid787282\rsid941567\rsid1730233\rsid2892074&#13;_x000a_\rsid3622648\rsid4666813\rsid5708216\rsid6641733\rsid7553164\rsid8465581\rsid8681905\rsid8724649\rsid9636012\rsid9862312\rsid11215221\rsid11370291\rsid11434737\rsid11607138\rsid11824949\rsid12154954\rsid14424199\rsid15204470\rsid15285974\rsid15535219&#13;_x000a_\rsid15950462\rsid16324206\rsid16662270}{\mmathPr\mmathFont34\mbrkBin0\mbrkBinSub0\msmallFrac0\mdispDef1\mlMargin0\mrMargin0\mdefJc1\mwrapIndent1440\mintLim0\mnaryLim1}{\info{\author FELIX Karina}{\operator FELIX Karina}&#13;_x000a_{\creatim\yr2019\mo7\dy3\hr16\min13}{\revtim\yr2019\mo7\dy3\hr16\min13}{\version1}{\edmins0}{\nofpages1}{\nofwords28}{\nofchars326}{\*\company European Parliament}{\nofcharsws329}{\vern97}}{\*\xmlnstbl {\xmlns1 http://schemas.microsoft.com/office/word/200&#13;_x000a_3/wordml}}\paperw11906\paperh16838\margl1418\margr1418\margt1134\margb1418\gutter0\ltrsect &#13;_x000a_\facingp\widowctrl\ftnbj\aenddoc\ftnrestart\trackmoves0\trackformatting1\donotembedsysfont1\relyonvml0\donotembedlingdata0\grfdocevents0\validatexml1\showplaceholdtext0\ignoremixedcontent0\saveinvalidxml0&#13;_x000a_\showxmlerrors1\margmirror\noxlattoyen\expshrtn\noultrlspc\dntblnsbdb\nospaceforul\formshade\horzdoc\dghspace180\dgvspace180\dghorigin1701\dgvorigin1984\dghshow0\dgvshow0&#13;_x000a_\jexpand\viewkind1\viewscale100\pgbrdrhead\pgbrdrfoot\nolnhtadjtbl\nojkernpunct\rsidroot941567\utinl \donotshowprops1\fet0{\*\wgrffmtfilter 013f}\ilfomacatclnup0{\*\template C:\\Users\\kfelix\\AppData\\Local\\Temp\\Blank1.dot}{\*\ftnsep \ltrpar &#13;_x000a_\pard\plain \ltrpar\ql \li0\ri0\widctlpar\wrapdefault\aspalpha\aspnum\faauto\adjustright\rin0\lin0\itap0 \rtlch\fcs1 \af0\afs20\alang1025 \ltrch\fcs0 \fs24\lang2057\langfe2057\cgrid\langnp2057\langfenp2057 {\rtlch\fcs1 \af0 \ltrch\fcs0 \insrsid1730233 &#13;_x000a_\chftnsep &#13;_x000a_\par }}{\*\ftnsepc \ltrpar \pard\plain \ltrpar\ql \li0\ri0\widctlpar\wrapdefault\aspalpha\aspnum\faauto\adjustright\rin0\lin0\itap0 \rtlch\fcs1 \af0\afs20\alang1025 \ltrch\fcs0 \fs24\lang2057\langfe2057\cgrid\langnp2057\langfenp2057 {\rtlch\fcs1 \af0 &#13;_x000a_\ltrch\fcs0 \insrsid1730233 \chftnsepc &#13;_x000a_\par }}{\*\aftnsep \ltrpar \pard\plain \ltrpar\ql \li0\ri0\widctlpar\wrapdefault\aspalpha\aspnum\faauto\adjustright\rin0\lin0\itap0 \rtlch\fcs1 \af0\afs20\alang1025 \ltrch\fcs0 \fs24\lang2057\langfe2057\cgrid\langnp2057\langfenp2057 {\rtlch\fcs1 \af0 &#13;_x000a_\ltrch\fcs0 \insrsid1730233 \chftnsep &#13;_x000a_\par }}{\*\aftnsepc \ltrpar \pard\plain \ltrpar\ql \li0\ri0\widctlpar\wrapdefault\aspalpha\aspnum\faauto\adjustright\rin0\lin0\itap0 \rtlch\fcs1 \af0\afs20\alang1025 \ltrch\fcs0 \fs24\lang2057\langfe2057\cgrid\langnp2057\langfenp2057 {\rtlch\fcs1 \af0 &#13;_x000a_\ltrch\fcs0 \insrsid1730233 \chftnsepc &#13;_x000a_\par }}\ltrpar \sectd \ltrsect\psz9\linex0\headery1134\footery505\endnhere\titlepg\sectdefaultcl\sectrsid14424199\sftnbj\sftnrestart {\*\pnseclvl1\pnucrm\pnstart1\pnindent720\pnhang {\pntxta .}}{\*\pnseclvl2\pnucltr\pnstart1\pnindent720\pnhang {\pntxta .}}&#13;_x000a_{\*\pnseclvl3\pndec\pnstart1\pnindent720\pnhang {\pntxta .}}{\*\pnseclvl4\pnlcltr\pnstart1\pnindent720\pnhang {\pntxta )}}{\*\pnseclvl5\pndec\pnstart1\pnindent720\pnhang {\pntxtb (}{\pntxta )}}{\*\pnseclvl6\pnlcltr\pnstart1\pnindent720\pnhang {\pntxtb (}&#13;_x000a_{\pntxta )}}{\*\pnseclvl7\pnlcrm\pnstart1\pnindent720\pnhang {\pntxtb (}{\pntxta )}}{\*\pnseclvl8\pnlcltr\pnstart1\pnindent720\pnhang {\pntxtb (}{\pntxta )}}{\*\pnseclvl9\pnlcrm\pnstart1\pnindent720\pnhang {\pntxtb (}{\pntxta )}}\pard\plain \ltrpar&#13;_x000a_\s20\ql \li0\ri0\sb240\keepn\nowidctlpar\tx879\tx936\tx1021\tx1077\tx1134\tx1191\tx1247\tx1304\tx1361\tx1418\tx1474\tx1531\tx1588\tx1644\tx1701\tx1758\tx1814\tx1871\tx2070\tx2126\tx3374\tx3430\wrapdefault\aspalpha\aspnum\faauto\adjustright\rin0&#13;_x000a_\lin0\itap0\pararsid941567 \rtlch\fcs1 \af0\afs20\alang1025 \ltrch\fcs0 \b\fs24\lang2057\langfe2057\cgrid\langnp2057\langfenp2057 {\rtlch\fcs1 \af0 \ltrch\fcs0 \cs15\b0\v\f1\fs20\cf9\lang1024\langfe1024\noproof\insrsid941567\charrsid4417459 &#13;_x000a_{\*\bkmkstart restart}&lt;Amend&gt;}{\rtlch\fcs1 \af0 \ltrch\fcs0 \insrsid941567\charrsid1799708 [ZAMENDMENT]}{\rtlch\fcs1 \af0 \ltrch\fcs0 \insrsid941567 \tab \tab }{\rtlch\fcs1 \af0 \ltrch\fcs0 &#13;_x000a_\cs15\b0\v\f1\fs20\cf9\lang1024\langfe1024\noproof\insrsid941567\charrsid4417459 &lt;NumAm&gt;}{\rtlch\fcs1 \af0 \ltrch\fcs0 \insrsid941567\charrsid1799708 [ZNRAM]}{\rtlch\fcs1 \af0 \ltrch\fcs0 &#13;_x000a_\cs15\b0\v\f1\fs20\cf9\lang1024\langfe1024\noproof\insrsid941567\charrsid4417459 &lt;/NumAm&gt;}{\rtlch\fcs1 \af0 \ltrch\fcs0 \insrsid941567\charrsid4080556 &#13;_x000a_\par }\pard\plain \ltrpar\s18\ql \li0\ri0\nowidctlpar\wrapdefault\aspalpha\aspnum\faauto\adjustright\rin0\lin0\itap0\pararsid941567 \rtlch\fcs1 \af0\afs20\alang1025 \ltrch\fcs0 \b\fs24\lang2057\langfe2057\cgrid\langnp2057\langfenp2057 {\rtlch\fcs1 \af0 &#13;_x000a_\ltrch\fcs0 \cs15\b0\v\f1\fs20\cf9\lang1024\langfe1024\noproof\insrsid941567\charrsid14699840 &lt;RepeatBlock-By&gt;}{\rtlch\fcs1 \af0 \ltrch\fcs0 \lang1024\langfe1024\noproof\insrsid941567\charrsid14699840 [RepeatMembers]}{\rtlch\fcs1 \af0 \ltrch\fcs0 &#13;_x000a_\cs15\b0\v\f1\fs20\cf9\lang1024\langfe1024\noproof\insrsid941567\charrsid14699840 &lt;Members&gt;}{\rtlch\fcs1 \af0 \ltrch\fcs0 \insrsid941567\charrsid14699840 [ZMEMBERS]}{\rtlch\fcs1 \af0 \ltrch\fcs0 &#13;_x000a_\cs15\b0\v\f1\fs20\cf9\lang1024\langfe1024\noproof\insrsid941567\charrsid14699840 &lt;/Members&gt;}{\rtlch\fcs1 \af0 \ltrch\fcs0 \insrsid941567\charrsid14699840 &#13;_x000a_\par }\pard\plain \ltrpar\ql \li0\ri0\widctlpar\wrapdefault\aspalpha\aspnum\faauto\adjustright\rin0\lin0\itap0\pararsid941567 \rtlch\fcs1 \af0\afs20\alang1025 \ltrch\fcs0 \fs24\lang2057\langfe2057\cgrid\langnp2057\langfenp2057 {\rtlch\fcs1 \af0 \ltrch\fcs0 &#13;_x000a_\cs15\v\f1\fs20\cf9\lang1024\langfe1024\noproof\langnp1043\insrsid941567\charrsid11627753 &lt;AuNomDe&gt;&lt;OptDel&gt;}{\rtlch\fcs1 \af0 \ltrch\fcs0 \lang1043\langfe2057\langnp1043\insrsid941567\charrsid11627753 [ZONBEHALF]}{\rtlch\fcs1 \af0 \ltrch\fcs0 &#13;_x000a_\cs15\v\f1\fs20\cf9\lang1024\langfe1024\noproof\langnp1043\insrsid941567\charrsid11627753 &lt;/OptDel&gt;&lt;/AuNomDe&gt;}{\rtlch\fcs1 \af0 \ltrch\fcs0 \lang1043\langfe2057\langnp1043\insrsid941567\charrsid11627753 &#13;_x000a_\par }{\rtlch\fcs1 \af0 \ltrch\fcs0 \insrsid941567\charrsid14699840 &lt;&lt;&lt;}{\rtlch\fcs1 \af0 \ltrch\fcs0 \cs15\v\f1\fs20\cf9\lang1024\langfe1024\noproof\insrsid941567\charrsid14699840 &lt;/RepeatBlock-By&gt;}{\rtlch\fcs1 \af0 \ltrch\fcs0 &#13;_x000a_\cs15\v\f1\fs20\cf9\lang1024\langfe1024\noproof\insrsid941567 &lt;Compromise}{\rtlch\fcs1 \af0 \ltrch\fcs0 \cs15\v\f1\fs20\cf9\lang1024\langfe1024\noproof\insrsid941567\charrsid1799708 &gt;}{\rtlch\fcs1 \af0 \ltrch\fcs0 \insrsid941567 [ZCOMPROMISE]}{&#13;_x000a_\rtlch\fcs1 \af0 \ltrch\fcs0 \cs15\v\f1\fs20\cf9\lang1024\langfe1024\noproof\insrsid941567 &lt;/Compromise}{\rtlch\fcs1 \af0 \ltrch\fcs0 \cs15\v\f1\fs20\cf9\lang1024\langfe1024\noproof\insrsid941567\charrsid1799708 &gt;}{\rtlch\fcs1 \af0 \ltrch\fcs0 &#13;_x000a_\insrsid941567\charrsid1799708 &#13;_x000a_\par }\pard\plain \ltrpar\s21\ql \li0\ri0\sb240\keepn\nowidctlpar\wrapdefault\aspalpha\aspnum\faauto\adjustright\rin0\lin0\itap0\pararsid941567 \rtlch\fcs1 \af0\afs20\alang1025 \ltrch\fcs0 \b\fs24\lang2057\langfe2057\cgrid\langnp2057\langfenp2057 {\rtlch\fcs1 &#13;_x000a_\af0 \ltrch\fcs0 \cs15\b0\v\f1\fs20\cf9\lang1024\langfe1024\noproof\langnp1036\insrsid941567\charrsid11627753 &lt;DocAmend&gt;}{\rtlch\fcs1 \af0 \ltrch\fcs0 \lang1036\langfe2057\langnp1036\insrsid941567\charrsid11627753 [ZAMDOC]}{\rtlch\fcs1 \af0 \ltrch\fcs0 &#13;_x000a_\cs15\b0\v\f1\fs20\cf9\lang1024\langfe1024\noproof\langnp1036\insrsid941567\charrsid11627753 &lt;/DocAmend&gt;}{\rtlch\fcs1 \af0 \ltrch\fcs0 \lang1036\langfe2057\langnp1036\insrsid941567\charrsid11627753 &#13;_x000a_\par }\pard\plain \ltrpar\s18\ql \li0\ri0\nowidctlpar\wrapdefault\aspalpha\aspnum\faauto\adjustright\rin0\lin0\itap0\pararsid941567 \rtlch\fcs1 \af0\afs20\alang1025 \ltrch\fcs0 \b\fs24\lang2057\langfe2057\cgrid\langnp2057\langfenp2057 {\rtlch\fcs1 \af0 &#13;_x000a_\ltrch\fcs0 \cs15\b0\v\f1\fs20\cf9\lang1024\langfe1024\noproof\langnp1036\insrsid941567\charrsid11627753 &lt;Article&gt;}{\rtlch\fcs1 \af0 \ltrch\fcs0 \lang1036\langfe2057\langnp1036\insrsid941567\charrsid11627753 [ZAMPART]}{\rtlch\fcs1 \af0 \ltrch\fcs0 &#13;_x000a_\cs15\b0\v\f1\fs20\cf9\lang1024\langfe1024\noproof\langnp1036\insrsid941567\charrsid11627753 &lt;/Article&gt;}{\rtlch\fcs1 \af0 \ltrch\fcs0 \lang1036\langfe2057\langnp1036\insrsid941567\charrsid11627753 &#13;_x000a_\par \ltrrow}\trowd \irow0\irowband0\ltrrow\ts11\trqc\trgaph340\trleft-340\trftsWidth3\trwWidth9752\trftsWidthB3\trpaddl340\trpaddr340\trpaddfl3\trpaddft3\trpaddfb3\trpaddfr3\tblrsid14055546\tblind0\tblindtype3 \clvertalt\clbrdrt\brdrtbl \clbrdrl\brdrtbl &#13;_x000a_\clbrdrb\brdrtbl \clbrdrr\brdrtbl \cltxlrtb\clftsWidth3\clwWidth9752\clshdrawnil \cellx9412\pard\plain \ltrpar\ql \li0\ri0\keepn\widctlpar\intbl\wrapdefault\aspalpha\aspnum\faauto\adjustright\rin0\lin0\pararsid9206962 \rtlch\fcs1 \af0\afs20\alang1025 &#13;_x000a_\ltrch\fcs0 \fs24\lang2057\langfe2057\cgrid\langnp2057\langfenp2057 {\rtlch\fcs1 \af0 \ltrch\fcs0 \lang1036\langfe2057\langnp1036\insrsid941567\charrsid11627753 \cell }\pard\plain \ltrpar&#13;_x000a_\ql \li0\ri0\widctlpar\intbl\wrapdefault\aspalpha\aspnum\faauto\adjustright\rin0\lin0 \rtlch\fcs1 \af0\afs20\alang1025 \ltrch\fcs0 \fs24\lang2057\langfe2057\cgrid\langnp2057\langfenp2057 {\rtlch\fcs1 \af0 \ltrch\fcs0 \insrsid941567\charrsid11627753 &#13;_x000a_\trowd \irow0\irowband0\ltrrow\ts11\trqc\trgaph340\trleft-340\trftsWidth3\trwWidth9752\trftsWidthB3\trpaddl340\trpaddr340\trpaddfl3\trpaddft3\trpaddfb3\trpaddfr3\tblrsid14055546\tblind0\tblindtype3 \clvertalt\clbrdrt\brdrtbl \clbrdrl\brdrtbl \clbrdrb&#13;_x000a_\brdrtbl \clbrdrr\brdrtbl \cltxlrtb\clftsWidth3\clwWidth9752\clshdrawnil \cellx9412\row \ltrrow}\trowd \irow1\irowband1\ltrrow&#13;_x000a_\ts11\trqc\trgaph340\trleft-340\trftsWidth3\trwWidth9752\trftsWidthB3\trpaddl340\trpaddr340\trpaddfl3\trpaddft3\trpaddfb3\trpaddfr3\tblrsid14055546\tblind0\tblindtype3 \clvertalt\clbrdrt\brdrtbl \clbrdrl\brdrtbl \clbrdrb\brdrtbl \clbrdrr\brdrtbl &#13;_x000a_\cltxlrtb\clftsWidth3\clwWidth4876\clshdrawnil \cellx4536\clvertalt\clbrdrt\brdrtbl \clbrdrl\brdrtbl \clbrdrb\brdrtbl \clbrdrr\brdrtbl \cltxlrtb\clftsWidth3\clwWidth4876\clshdrawnil \cellx9412\pard\plain \ltrpar&#13;_x000a_\s19\qc \li0\ri0\sa240\keepn\nowidctlpar\intbl\wrapdefault\aspalpha\aspnum\faauto\adjustright\rin0\lin0\pararsid9206962 \rtlch\fcs1 \af0\afs20\alang1025 \ltrch\fcs0 \i\fs24\lang2057\langfe2057\cgrid\langnp2057\langfenp2057 {\rtlch\fcs1 \af0 \ltrch\fcs0 &#13;_x000a_\insrsid941567\charrsid1799708 [ZLEFT]\cell [ZRIGHT]\cell }\pard\plain \ltrpar\ql \li0\ri0\widctlpar\intbl\wrapdefault\aspalpha\aspnum\faauto\adjustright\rin0\lin0 \rtlch\fcs1 \af0\afs20\alang1025 \ltrch\fcs0 &#13;_x000a_\fs24\lang2057\langfe2057\cgrid\langnp2057\langfenp2057 {\rtlch\fcs1 \af0 \ltrch\fcs0 \insrsid941567\charrsid1799708 \trowd \irow1\irowband1\ltrrow&#13;_x000a_\ts11\trqc\trgaph340\trleft-340\trftsWidth3\trwWidth9752\trftsWidthB3\trpaddl340\trpaddr340\trpaddfl3\trpaddft3\trpaddfb3\trpaddfr3\tblrsid14055546\tblind0\tblindtype3 \clvertalt\clbrdrt\brdrtbl \clbrdrl\brdrtbl \clbrdrb\brdrtbl \clbrdrr\brdrtbl &#13;_x000a_\cltxlrtb\clftsWidth3\clwWidth4876\clshdrawnil \cellx4536\clvertalt\clbrdrt\brdrtbl \clbrdrl\brdrtbl \clbrdrb\brdrtbl \clbrdrr\brdrtbl \cltxlrtb\clftsWidth3\clwWidth4876\clshdrawnil \cellx9412\row \ltrrow}\pard\plain \ltrpar&#13;_x000a_\s17\ql \li0\ri0\sa120\nowidctlpar\intbl\wrapdefault\aspalpha\aspnum\faauto\adjustright\rin0\lin0\pararsid14055546 \rtlch\fcs1 \af0\afs20\alang1025 \ltrch\fcs0 \fs24\lang2057\langfe2057\cgrid\langnp2057\langfenp2057 {\rtlch\fcs1 \af0 \ltrch\fcs0 &#13;_x000a_\insrsid941567\charrsid1799708 [ZTEXTL]\cell [ZTEXTR]}{\rtlch\fcs1 \af0\afs24 \ltrch\fcs0 \insrsid941567\charrsid1799708 \cell }\pard\plain \ltrpar\ql \li0\ri0\widctlpar\intbl\wrapdefault\aspalpha\aspnum\faauto\adjustright\rin0\lin0 \rtlch\fcs1 &#13;_x000a_\af0\afs20\alang1025 \ltrch\fcs0 \fs24\lang2057\langfe2057\cgrid\langnp2057\langfenp2057 {\rtlch\fcs1 \af0 \ltrch\fcs0 \insrsid941567\charrsid1799708 \trowd \irow2\irowband2\lastrow \ltrrow&#13;_x000a_\ts11\trqc\trgaph340\trleft-340\trftsWidth3\trwWidth9752\trftsWidthB3\trpaddl340\trpaddr340\trpaddfl3\trpaddft3\trpaddfb3\trpaddfr3\tblrsid14055546\tblind0\tblindtype3 \clvertalt\clbrdrt\brdrtbl \clbrdrl\brdrtbl \clbrdrb\brdrtbl \clbrdrr\brdrtbl &#13;_x000a_\cltxlrtb\clftsWidth3\clwWidth4876\clshdrawnil \cellx4536\clvertalt\clbrdrt\brdrtbl \clbrdrl\brdrtbl \clbrdrb\brdrtbl \clbrdrr\brdrtbl \cltxlrtb\clftsWidth3\clwWidth4876\clshdrawnil \cellx9412\row }\pard\plain \ltrpar&#13;_x000a_\s16\qr \li0\ri0\sb240\sa240\nowidctlpar\wrapdefault\aspalpha\aspnum\faauto\adjustright\rin0\lin0\itap0\pararsid941567 \rtlch\fcs1 \af0\afs20\alang1025 \ltrch\fcs0 \fs24\lang2057\langfe2057\cgrid\langnp2057\langfenp2057 {\rtlch\fcs1 \af0 \ltrch\fcs0 &#13;_x000a_\insrsid941567\charrsid1799708 Or. }{\rtlch\fcs1 \af0 \ltrch\fcs0 \cs15\v\f1\fs20\cf9\lang1024\langfe1024\noproof\insrsid941567\charrsid1799708 &lt;Original&gt;}{\rtlch\fcs1 \af0 \ltrch\fcs0 \insrsid941567\charrsid1799708 [ZORLANG]}{\rtlch\fcs1 \af0 &#13;_x000a_\ltrch\fcs0 \cs15\v\f1\fs20\cf9\lang1024\langfe1024\noproof\insrsid941567\charrsid1799708 &lt;/Original&gt;}{\rtlch\fcs1 \af0 \ltrch\fcs0 \insrsid941567\charrsid1799708 &#13;_x000a_\par }\pard\plain \ltrpar\ql \li0\ri0\widctlpar\wrapdefault\aspalpha\aspnum\faauto\adjustright\rin0\lin0\itap0\pararsid941567 \rtlch\fcs1 \af0\afs20\alang1025 \ltrch\fcs0 \fs24\lang2057\langfe2057\cgrid\langnp2057\langfenp2057 {\rtlch\fcs1 \af0 \ltrch\fcs0 &#13;_x000a_\cs15\v\f1\fs20\cf9\lang1024\langfe1024\noproof\insrsid941567\charrsid1799708 &lt;/Amend&gt;}{\rtlch\fcs1 \af0 \ltrch\fcs0 \insrsid24658\charrsid16324206 {\*\bkmkend restart}&#13;_x000a_\par }{\*\themedata 504b030414000600080000002100e9de0fbfff0000001c020000130000005b436f6e74656e745f54797065735d2e786d6cac91cb4ec3301045f748fc83e52d4a&#13;_x000a_9cb2400825e982c78ec7a27cc0c8992416c9d8b2a755fbf74cd25442a820166c2cd933f79e3be372bd1f07b5c3989ca74aaff2422b24eb1b475da5df374fd9ad&#13;_x000a_5689811a183c61a50f98f4babebc2837878049899a52a57be670674cb23d8e90721f90a4d2fa3802cb35762680fd800ecd7551dc18eb899138e3c943d7e503b6&#13;_x000a_b01d583deee5f99824e290b4ba3f364eac4a430883b3c092d4eca8f946c916422ecab927f52ea42b89a1cd59c254f919b0e85e6535d135a8de20f20b8c12c3b0&#13;_x000a_0c895fcf6720192de6bf3b9e89ecdbd6596cbcdd8eb28e7c365ecc4ec1ff1460f53fe813d3cc7f5b7f020000ffff0300504b030414000600080000002100a5d6&#13;_x000a_a7e7c0000000360100000b0000005f72656c732f2e72656c73848fcf6ac3300c87ef85bd83d17d51d2c31825762fa590432fa37d00e1287f68221bdb1bebdb4f&#13;_x000a_c7060abb0884a4eff7a93dfeae8bf9e194e720169aaa06c3e2433fcb68e1763dbf7f82c985a4a725085b787086a37bdbb55fbc50d1a33ccd311ba548b6309512&#13;_x000a_0f88d94fbc52ae4264d1c910d24a45db3462247fa791715fd71f989e19e0364cd3f51652d73760ae8fa8c9ffb3c330cc9e4fc17faf2ce545046e37944c69e462&#13;_x000a_a1a82fe353bd90a865aad41ed0b5b8f9d6fd010000ffff0300504b0304140006000800000021006b799616830000008a0000001c0000007468656d652f746865&#13;_x000a_6d652f7468656d654d616e616765722e786d6c0ccc4d0ac3201040e17da17790d93763bb284562b2cbaebbf600439c1a41c7a0d29fdbd7e5e38337cedf14d59b&#13;_x000a_4b0d592c9c070d8a65cd2e88b7f07c2ca71ba8da481cc52c6ce1c715e6e97818c9b48d13df49c873517d23d59085adb5dd20d6b52bd521ef2cdd5eb9246a3d8b&#13;_x000a_4757e8d3f729e245eb2b260a0238fd010000ffff0300504b03041400060008000000210007b740aaca0600008f1a0000160000007468656d652f7468656d652f&#13;_x000a_7468656d65312e786d6cec595b8bdb46147e2ff43f08bd3bbe49be2cf1065bb69336bb49889d943cceda636bb2238dd18c776342a0244f7d2914d2d28706fad6&#13;_x000a_87521a68a0a12ffd310b1bdaf447f4cc489667ec71f6420aa1640d8b34face996fce39face48ba7aed51449d239c70c2e2965bbe52721d1c8fd898c4d3967b6f&#13;_x000a_d82f345c870b148f1165316eb90bccdd6bbb9f7e7215ed881047d801fb98efa0961b0a31db2916f9088611bfc26638866b13964448c069322d8e13740c7e235a&#13;_x000a_ac944ab5628448ec3a318ac0ededc9848cb033942edddda5f31e85d358703930a2c940bac68685c28e0fcb12c1173ca089738468cb8579c6ec78881f09d7a188&#13;_x000a_0bb8d0724beacf2dee5e2da29dcc888a2db69a5d5ffd657699c1f8b0a2e64ca607f9a49ee77bb576ee5f01a8d8c4f5eabd5aaf96fb5300341ac14a532eba4fbf&#13;_x000a_d3ec74fd0cab81d2438bef6ebd5b2d1b78cd7f758373db973f03af40a97f6f03dfef07104503af4029dedfc07b5ebd1278065e81527c6d035f2fb5bb5eddc02b&#13;_x000a_5048497cb8812ef9b56ab05c6d0e99307ac30a6ffa5ebf5ec99caf50500d7975c929262c16db6a2d420f59d2078004522448ec88c50c4fd008aa3840941c24c4&#13;_x000a_d923d3100a6f8662c661b85429f54b55f82f7f9e3a5211413b1869d6921730e11b43928fc34709998996fb39787535c8e9ebd7274f5f9d3cfdfde4d9b393a7bf&#13;_x000a_66732b5786dd0d144f75bbb73f7df3cf8b2f9dbf7ffbf1edf36fd3a9d7f15cc7bff9e5ab377ffcf92ef7b0e255284ebf7bf9e6d5cbd3efbffeebe7e716efed04&#13;_x000a_1de8f0218930776ee163e72e8b608116fef820b998c5304444b768c7538e622467b1f8ef89d040df5a208a2cb80e36e3783f01a9b101afcf1f1a8407613217c4&#13;_x000a_e2f1661819c07dc6688725d628dc947369611ecee3a97df264aee3ee2274649b3b40b191e5de7c061a4b6c2e83101b34ef50140b34c531168ebcc60e31b6acee&#13;_x000a_0121465cf7c928619c4d84f380381d44ac21199203a39a56463748047959d80842be8dd8ecdf773a8cda56ddc5472612ee0d442de487981a61bc8ee602453697&#13;_x000a_4314513de07b48843692834532d2713d2e20d3534c99d31b63ce6d36b71358af96f49b2033f6b4efd345642213410e6d3ef710633ab2cb0e831045331b7640e2&#13;_x000a_50c77ec60fa144917387091b7c9f9977883c873ca0786bbaef136ca4fb6c35b8070aab535a1588bc324f2cb9bc8e9951bf83059d20aca4061a80a1eb1189cf14&#13;_x000a_f93579f7ff3b7907113dfde1856545ef47d2ed8e8d7c5c50ccdb09b1de4d37d6247c1b6e5db803968cc987afdb5d348fef60b855369bd747d9fe28dbeeff5eb6&#13;_x000a_b7ddcfef5fac57fa0cd22db7ade9765d6ddea3ad7bf709a174201614ef71b57de7d095c67d189476eab915e7cf72b3100ee59d0c1318b86982948d9330f10511&#13;_x000a_e1204433d8e3975de964ca33d753eecc1887adbf1ab6fa96783a8ff6d9387d642d97e5e3692a1e1c89d578c9cfc7e17143a4e85a7df51896bb576ca7ea717949&#13;_x000a_40da5e8484369949a26a21515f0eca20a98773089a85845ad97b61d1b4b06848f7cb546db0006a795660dbe4c066abe5fa1e9880113c55218ac7324f69aa97d9&#13;_x000a_55c97c9f99de164ca302600fb1ac8055a69b92ebd6e5c9d5a5a5768e4c1b24b4723349a8c8a81ec64334c65975cad1f3d0b868ae9bab941af46428d47c505a2b&#13;_x000a_1af5c6bb585c36d760b7ae0d34d69582c6ce71cbad557d2899119ab5dc093cfac3613483dae172bb8be814de9f8d4492def097519659c24517f1300db8129d54&#13;_x000a_0d222270e25012b55cb9fc3c0d34561aa2b8952b20081f2cb926c8ca87460e926e26194f267824f4b46b2332d2e929287caa15d6abcafcf26069c9e690ee4138&#13;_x000a_3e760ee83cb98ba0c4fc7a5906704c38bc012aa7d11c1378a5990bd9aafed61a5326bbfa3b455543e938a2b310651d4517f314aea43ca7a3cef2186867d99a21&#13;_x000a_a05a48b2467830950d560faad14df3ae9172d8da75cf369291d34473d5330d55915dd3ae62c60ccb36b016cbcb35798dd532c4a0697a874fa57b5d729b4bad5b&#13;_x000a_db27e45d02029ec7cfd275cfd110346aabc90c6a92f1a60c4bcdce46cddeb15ce019d4ced32434d5af2dddaec52def11d6e960f0529d1fecd6ab168626cb7da5&#13;_x000a_8ab4faf6a17f9e60070f413cbaf022784e0557a9848f0f09820dd140ed4952d9805be491c86e0d3872e60969b98f4b7edb0b2a7e502835fc5ec1ab7aa542c36f&#13;_x000a_570b6ddfaf967b7eb9d4ed549e4063116154f6d3ef2e7d780d4517d9d71735bef105265abe69bb32625191a92f2c45455c7d812957b67f81710888cee35aa5df&#13;_x000a_ac363bb542b3daee17bc6ea7516806b54ea15b0beadd7e37f01bcdfe13d7395260af5d0dbc5aaf51a89583a0e0d54a927ea359a87b954adbabb71b3daffd24db&#13;_x000a_c6c0ca53f9c86201e155bc76ff050000ffff0300504b0304140006000800000021000dd1909fb60000001b010000270000007468656d652f7468656d652f5f72&#13;_x000a_656c732f7468656d654d616e616765722e786d6c2e72656c73848f4d0ac2301484f78277086f6fd3ba109126dd88d0add40384e4350d363f2451eced0dae2c08&#13;_x000a_2e8761be9969bb979dc9136332de3168aa1a083ae995719ac16db8ec8e4052164e89d93b64b060828e6f37ed1567914b284d262452282e3198720e274a939cd0&#13;_x000a_8a54f980ae38a38f56e422a3a641c8bbd048f7757da0f19b017cc524bd62107bd5001996509affb3fd381a89672f1f165dfe514173d9850528a2c6cce0239baa&#13;_x000a_4c04ca5bbabac4df000000ffff0300504b01022d0014000600080000002100e9de0fbfff0000001c0200001300000000000000000000000000000000005b436f&#13;_x000a_6e74656e745f54797065735d2e786d6c504b01022d0014000600080000002100a5d6a7e7c0000000360100000b00000000000000000000000000300100005f72&#13;_x000a_656c732f2e72656c73504b01022d00140006000800000021006b799616830000008a0000001c00000000000000000000000000190200007468656d652f746865&#13;_x000a_6d652f7468656d654d616e616765722e786d6c504b01022d001400060008000000210007b740aaca0600008f1a00001600000000000000000000000000d60200&#13;_x000a_007468656d652f7468656d652f7468656d65312e786d6c504b01022d00140006000800000021000dd1909fb60000001b01000027000000000000000000000000&#13;_x000a_00d40900007468656d652f7468656d652f5f72656c732f7468656d654d616e616765722e786d6c2e72656c73504b050600000000050005005d010000cf0a00000000}&#13;_x000a_{\*\colorschememapping 3c3f786d6c2076657273696f6e3d22312e302220656e636f64696e673d225554462d3822207374616e64616c6f6e653d22796573223f3e0d0a3c613a636c724d&#13;_x000a_617020786d6c6e733a613d22687474703a2f2f736368656d61732e6f70656e786d6c666f726d6174732e6f72672f64726177696e676d6c2f323030362f6d6169&#13;_x000a_6e22206267313d226c743122207478313d22646b3122206267323d226c743222207478323d22646b322220616363656e74313d22616363656e74312220616363&#13;_x000a_656e74323d22616363656e74322220616363656e74333d22616363656e74332220616363656e74343d22616363656e74342220616363656e74353d22616363656e74352220616363656e74363d22616363656e74362220686c696e6b3d22686c696e6b2220666f6c486c696e6b3d22666f6c486c696e6b222f3e}&#13;_x000a_{\*\latentstyles\lsdstimax371\lsdlockeddef0\lsdsemihiddendef0\lsdunhideuseddef0\lsdqformatdef0\lsdprioritydef0{\lsdlockedexcept \lsdqformat1 \lsdlocked0 Normal;\lsdqformat1 \lsdlocked0 heading 1;&#13;_x000a_\lsdsemihidden1 \lsdunhideused1 \lsdqformat1 \lsdlocked0 heading 2;\lsdsemihidden1 \lsdunhideused1 \lsdqformat1 \lsdlocked0 heading 3;\lsdsemihidden1 \lsdunhideused1 \lsdqformat1 \lsdlocked0 heading 4;&#13;_x000a_\lsdsemihidden1 \lsdunhideused1 \lsdqformat1 \lsdlocked0 heading 5;\lsdsemihidden1 \lsdunhideused1 \lsdqformat1 \lsdlocked0 heading 6;\lsdsemihidden1 \lsdunhideused1 \lsdqformat1 \lsdlocked0 heading 7;&#13;_x000a_\lsdsemihidden1 \lsdunhideused1 \lsdqformat1 \lsdlocked0 heading 8;\lsdsemihidden1 \lsdunhideused1 \lsdqformat1 \lsdlocked0 heading 9;\lsdsemihidden1 \lsdunhideused1 \lsdqformat1 \lsdlocked0 caption;\lsdqformat1 \lsdlocked0 Title;&#13;_x000a_\lsdqformat1 \lsdlocked0 Subtitle;\lsdqformat1 \lsdlocked0 Strong;\lsdqformat1 \lsdlocked0 Emphasis;\lsdsemihidden1 \lsdpriority99 \lsdlocked0 Placeholder Text;\lsdqformat1 \lsdpriority1 \lsdlocked0 No Spacing;\lsdpriority60 \lsdlocked0 Light Shading;&#13;_x000a_\lsdpriority61 \lsdlocked0 Light List;\lsdpriority62 \lsdlocked0 Light Grid;\lsdpriority63 \lsdlocked0 Medium Shading 1;\lsdpriority64 \lsdlocked0 Medium Shading 2;\lsdpriority65 \lsdlocked0 Medium List 1;\lsdpriority66 \lsdlocked0 Medium List 2;&#13;_x000a_\lsdpriority67 \lsdlocked0 Medium Grid 1;\lsdpriority68 \lsdlocked0 Medium Grid 2;\lsdpriority69 \lsdlocked0 Medium Grid 3;\lsdpriority70 \lsdlocked0 Dark List;\lsdpriority71 \lsdlocked0 Colorful Shading;\lsdpriority72 \lsdlocked0 Colorful List;&#13;_x000a_\lsdpriority73 \lsdlocked0 Colorful Grid;\lsdpriority60 \lsdlocked0 Light Shading Accent 1;\lsdpriority61 \lsdlocked0 Light List Accent 1;\lsdpriority62 \lsdlocked0 Light Grid Accent 1;\lsdpriority63 \lsdlocked0 Medium Shading 1 Accent 1;&#13;_x000a_\lsdpriority64 \lsdlocked0 Medium Shading 2 Accent 1;\lsdpriority65 \lsdlocked0 Medium List 1 Accent 1;\lsdsemihidden1 \lsdpriority99 \lsdlocked0 Revision;\lsdqformat1 \lsdpriority34 \lsdlocked0 List Paragraph;&#13;_x000a_\lsdqformat1 \lsdpriority29 \lsdlocked0 Quote;\lsdqformat1 \lsdpriority30 \lsdlocked0 Intense Quote;\lsdpriority66 \lsdlocked0 Medium List 2 Accent 1;\lsdpriority67 \lsdlocked0 Medium Grid 1 Accent 1;\lsdpriority68 \lsdlocked0 Medium Grid 2 Accent 1;&#13;_x000a_\lsdpriority69 \lsdlocked0 Medium Grid 3 Accent 1;\lsdpriority70 \lsdlocked0 Dark List Accent 1;\lsdpriority71 \lsdlocked0 Colorful Shading Accent 1;\lsdpriority72 \lsdlocked0 Colorful List Accent 1;\lsdpriority73 \lsdlocked0 Colorful Grid Accent 1;&#13;_x000a_\lsdpriority60 \lsdlocked0 Light Shading Accent 2;\lsdpriority61 \lsdlocked0 Light List Accent 2;\lsdpriority62 \lsdlocked0 Light Grid Accent 2;\lsdpriority63 \lsdlocked0 Medium Shading 1 Accent 2;\lsdpriority64 \lsdlocked0 Medium Shading 2 Accent 2;&#13;_x000a_\lsdpriority65 \lsdlocked0 Medium List 1 Accent 2;\lsdpriority66 \lsdlocked0 Medium List 2 Accent 2;\lsdpriority67 \lsdlocked0 Medium Grid 1 Accent 2;\lsdpriority68 \lsdlocked0 Medium Grid 2 Accent 2;\lsdpriority69 \lsdlocked0 Medium Grid 3 Accent 2;&#13;_x000a_\lsdpriority70 \lsdlocked0 Dark List Accent 2;\lsdpriority71 \lsdlocked0 Colorful Shading Accent 2;\lsdpriority72 \lsdlocked0 Colorful List Accent 2;\lsdpriority73 \lsdlocked0 Colorful Grid Accent 2;\lsdpriority60 \lsdlocked0 Light Shading Accent 3;&#13;_x000a_\lsdpriority61 \lsdlocked0 Light List Accent 3;\lsdpriority62 \lsdlocked0 Light Grid Accent 3;\lsdpriority63 \lsdlocked0 Medium Shading 1 Accent 3;\lsdpriority64 \lsdlocked0 Medium Shading 2 Accent 3;\lsdpriority65 \lsdlocked0 Medium List 1 Accent 3;&#13;_x000a_\lsdpriority66 \lsdlocked0 Medium List 2 Accent 3;\lsdpriority67 \lsdlocked0 Medium Grid 1 Accent 3;\lsdpriority68 \lsdlocked0 Medium Grid 2 Accent 3;\lsdpriority69 \lsdlocked0 Medium Grid 3 Accent 3;\lsdpriority70 \lsdlocked0 Dark List Accent 3;&#13;_x000a_\lsdpriority71 \lsdlocked0 Colorful Shading Accent 3;\lsdpriority72 \lsdlocked0 Colorful List Accent 3;\lsdpriority73 \lsdlocked0 Colorful Grid Accent 3;\lsdpriority60 \lsdlocked0 Light Shading Accent 4;\lsdpriority61 \lsdlocked0 Light List Accent 4;&#13;_x000a_\lsdpriority62 \lsdlocked0 Light Grid Accent 4;\lsdpriority63 \lsdlocked0 Medium Shading 1 Accent 4;\lsdpriority64 \lsdlocked0 Medium Shading 2 Accent 4;\lsdpriority65 \lsdlocked0 Medium List 1 Accent 4;\lsdpriority66 \lsdlocked0 Medium List 2 Accent 4;&#13;_x000a_\lsdpriority67 \lsdlocked0 Medium Grid 1 Accent 4;\lsdpriority68 \lsdlocked0 Medium Grid 2 Accent 4;\lsdpriority69 \lsdlocked0 Medium Grid 3 Accent 4;\lsdpriority70 \lsdlocked0 Dark List Accent 4;\lsdpriority71 \lsdlocked0 Colorful Shading Accent 4;&#13;_x000a_\lsdpriority72 \lsdlocked0 Colorful List Accent 4;\lsdpriority73 \lsdlocked0 Colorful Grid Accent 4;\lsdpriority60 \lsdlocked0 Light Shading Accent 5;\lsdpriority61 \lsdlocked0 Light List Accent 5;\lsdpriority62 \lsdlocked0 Light Grid Accent 5;&#13;_x000a_\lsdpriority63 \lsdlocked0 Medium Shading 1 Accent 5;\lsdpriority64 \lsdlocked0 Medium Shading 2 Accent 5;\lsdpriority65 \lsdlocked0 Medium List 1 Accent 5;\lsdpriority66 \lsdlocked0 Medium List 2 Accent 5;&#13;_x000a_\lsdpriority67 \lsdlocked0 Medium Grid 1 Accent 5;\lsdpriority68 \lsdlocked0 Medium Grid 2 Accent 5;\lsdpriority69 \lsdlocked0 Medium Grid 3 Accent 5;\lsdpriority70 \lsdlocked0 Dark List Accent 5;\lsdpriority71 \lsdlocked0 Colorful Shading Accent 5;&#13;_x000a_\lsdpriority72 \lsdlocked0 Colorful List Accent 5;\lsdpriority73 \lsdlocked0 Colorful Grid Accent 5;\lsdpriority60 \lsdlocked0 Light Shading Accent 6;\lsdpriority61 \lsdlocked0 Light List Accent 6;\lsdpriority62 \lsdlocked0 Light Grid Accent 6;&#13;_x000a_\lsdpriority63 \lsdlocked0 Medium Shading 1 Accent 6;\lsdpriority64 \lsdlocked0 Medium Shading 2 Accent 6;\lsdpriority65 \lsdlocked0 Medium List 1 Accent 6;\lsdpriority66 \lsdlocked0 Medium List 2 Accent 6;&#13;_x000a_\lsdpriority67 \lsdlocked0 Medium Grid 1 Accent 6;\lsdpriority68 \lsdlocked0 Medium Grid 2 Accent 6;\lsdpriority69 \lsdlocked0 Medium Grid 3 Accent 6;\lsdpriority70 \lsdlocked0 Dark List Accent 6;\lsdpriority71 \lsdlocked0 Colorful Shading Accent 6;&#13;_x000a_\lsdpriority72 \lsdlocked0 Colorful List Accent 6;\lsdpriority73 \lsdlocked0 Colorful Grid Accent 6;\lsdqformat1 \lsdpriority19 \lsdlocked0 Subtle Emphasis;\lsdqformat1 \lsdpriority21 \lsdlocked0 Intense Emphasis;&#13;_x000a_\lsdqformat1 \lsdpriority31 \lsdlocked0 Subtle Reference;\lsdqformat1 \lsdpriority32 \lsdlocked0 Intense Reference;\lsdqformat1 \lsdpriority33 \lsdlocked0 Book Title;\lsdsemihidden1 \lsdunhideused1 \lsdpriority37 \lsdlocked0 Bibliography;&#13;_x000a_\lsdsemihidden1 \lsdunhideused1 \lsdqformat1 \lsdpriority39 \lsdlocked0 TOC Heading;\lsdpriority41 \lsdlocked0 Plain Table 1;\lsdpriority42 \lsdlocked0 Plain Table 2;\lsdpriority43 \lsdlocked0 Plain Table 3;\lsdpriority44 \lsdlocked0 Plain Table 4;&#13;_x000a_\lsdpriority45 \lsdlocked0 Plain Table 5;\lsdpriority40 \lsdlocked0 Grid Table Light;\lsdpriority46 \lsdlocked0 Grid Table 1 Light;\lsdpriority47 \lsdlocked0 Grid Table 2;\lsdpriority48 \lsdlocked0 Grid Table 3;\lsdpriority49 \lsdlocked0 Grid Table 4;&#13;_x000a_\lsdpriority50 \lsdlocked0 Grid Table 5 Dark;\lsdpriority51 \lsdlocked0 Grid Table 6 Colorful;\lsdpriority52 \lsdlocked0 Grid Table 7 Colorful;\lsdpriority46 \lsdlocked0 Grid Table 1 Light Accent 1;\lsdpriority47 \lsdlocked0 Grid Table 2 Accent 1;&#13;_x000a_\lsdpriority48 \lsdlocked0 Grid Table 3 Accent 1;\lsdpriority49 \lsdlocked0 Grid Table 4 Accent 1;\lsdpriority50 \lsdlocked0 Grid Table 5 Dark Accent 1;\lsdpriority51 \lsdlocked0 Grid Table 6 Colorful Accent 1;&#13;_x000a_\lsdpriority52 \lsdlocked0 Grid Table 7 Colorful Accent 1;\lsdpriority46 \lsdlocked0 Grid Table 1 Light Accent 2;\lsdpriority47 \lsdlocked0 Grid Table 2 Accent 2;\lsdpriority48 \lsdlocked0 Grid Table 3 Accent 2;&#13;_x000a_\lsdpriority49 \lsdlocked0 Grid Table 4 Accent 2;\lsdpriority50 \lsdlocked0 Grid Table 5 Dark Accent 2;\lsdpriority51 \lsdlocked0 Grid Table 6 Colorful Accent 2;\lsdpriority52 \lsdlocked0 Grid Table 7 Colorful Accent 2;&#13;_x000a_\lsdpriority46 \lsdlocked0 Grid Table 1 Light Accent 3;\lsdpriority47 \lsdlocked0 Grid Table 2 Accent 3;\lsdpriority48 \lsdlocked0 Grid Table 3 Accent 3;\lsdpriority49 \lsdlocked0 Grid Table 4 Accent 3;&#13;_x000a_\lsdpriority50 \lsdlocked0 Grid Table 5 Dark Accent 3;\lsdpriority51 \lsdlocked0 Grid Table 6 Colorful Accent 3;\lsdpriority52 \lsdlocked0 Grid Table 7 Colorful Accent 3;\lsdpriority46 \lsdlocked0 Grid Table 1 Light Accent 4;&#13;_x000a_\lsdpriority47 \lsdlocked0 Grid Table 2 Accent 4;\lsdpriority48 \lsdlocked0 Grid Table 3 Accent 4;\lsdpriority49 \lsdlocked0 Grid Table 4 Accent 4;\lsdpriority50 \lsdlocked0 Grid Table 5 Dark Accent 4;&#13;_x000a_\lsdpriority51 \lsdlocked0 Grid Table 6 Colorful Accent 4;\lsdpriority52 \lsdlocked0 Grid Table 7 Colorful Accent 4;\lsdpriority46 \lsdlocked0 Grid Table 1 Light Accent 5;\lsdpriority47 \lsdlocked0 Grid Table 2 Accent 5;&#13;_x000a_\lsdpriority48 \lsdlocked0 Grid Table 3 Accent 5;\lsdpriority49 \lsdlocked0 Grid Table 4 Accent 5;\lsdpriority50 \lsdlocked0 Grid Table 5 Dark Accent 5;\lsdpriority51 \lsdlocked0 Grid Table 6 Colorful Accent 5;&#13;_x000a_\lsdpriority52 \lsdlocked0 Grid Table 7 Colorful Accent 5;\lsdpriority46 \lsdlocked0 Grid Table 1 Light Accent 6;\lsdpriority47 \lsdlocked0 Grid Table 2 Accent 6;\lsdpriority48 \lsdlocked0 Grid Table 3 Accent 6;&#13;_x000a_\lsdpriority49 \lsdlocked0 Grid Table 4 Accent 6;\lsdpriority50 \lsdlocked0 Grid Table 5 Dark Accent 6;\lsdpriority51 \lsdlocked0 Grid Table 6 Colorful Accent 6;\lsdpriority52 \lsdlocked0 Grid Table 7 Colorful Accent 6;&#13;_x000a_\lsdpriority46 \lsdlocked0 List Table 1 Light;\lsdpriority47 \lsdlocked0 List Table 2;\lsdpriority48 \lsdlocked0 List Table 3;\lsdpriority49 \lsdlocked0 List Table 4;\lsdpriority50 \lsdlocked0 List Table 5 Dark;&#13;_x000a_\lsdpriority51 \lsdlocked0 List Table 6 Colorful;\lsdpriority52 \lsdlocked0 List Table 7 Colorful;\lsdpriority46 \lsdlocked0 List Table 1 Light Accent 1;\lsdpriority47 \lsdlocked0 List Table 2 Accent 1;\lsdpriority48 \lsdlocked0 List Table 3 Accent 1;&#13;_x000a_\lsdpriority49 \lsdlocked0 List Table 4 Accent 1;\lsdpriority50 \lsdlocked0 List Table 5 Dark Accent 1;\lsdpriority51 \lsdlocked0 List Table 6 Colorful Accent 1;\lsdpriority52 \lsdlocked0 List Table 7 Colorful Accent 1;&#13;_x000a_\lsdpriority46 \lsdlocked0 List Table 1 Light Accent 2;\lsdpriority47 \lsdlocked0 List Table 2 Accent 2;\lsdpriority48 \lsdlocked0 List Table 3 Accent 2;\lsdpriority49 \lsdlocked0 List Table 4 Accent 2;&#13;_x000a_\lsdpriority50 \lsdlocked0 List Table 5 Dark Accent 2;\lsdpriority51 \lsdlocked0 List Table 6 Colorful Accent 2;\lsdpriority52 \lsdlocked0 List Table 7 Colorful Accent 2;\lsdpriority46 \lsdlocked0 List Table 1 Light Accent 3;&#13;_x000a_\lsdpriority47 \lsdlocked0 List Table 2 Accent 3;\lsdpriority48 \lsdlocked0 List Table 3 Accent 3;\lsdpriority49 \lsdlocked0 List Table 4 Accent 3;\lsdpriority50 \lsdlocked0 List Table 5 Dark Accent 3;&#13;_x000a_\lsdpriority51 \lsdlocked0 List Table 6 Colorful Accent 3;\lsdpriority52 \lsdlocked0 List Table 7 Colorful Accent 3;\lsdpriority46 \lsdlocked0 List Table 1 Light Accent 4;\lsdpriority47 \lsdlocked0 List Table 2 Accent 4;&#13;_x000a_\lsdpriority48 \lsdlocked0 List Table 3 Accent 4;\lsdpriority49 \lsdlocked0 List Table 4 Accent 4;\lsdpriority50 \lsdlocked0 List Table 5 Dark Accent 4;\lsdpriority51 \lsdlocked0 List Table 6 Colorful Accent 4;&#13;_x000a_\lsdpriority52 \lsdlocked0 List Table 7 Colorful Accent 4;\lsdpriority46 \lsdlocked0 List Table 1 Light Accent 5;\lsdpriority47 \lsdlocked0 List Table 2 Accent 5;\lsdpriority48 \lsdlocked0 List Table 3 Accent 5;&#13;_x000a_\lsdpriority49 \lsdlocked0 List Table 4 Accent 5;\lsdpriority50 \lsdlocked0 List Table 5 Dark Accent 5;\lsdpriority51 \lsdlocked0 List Table 6 Colorful Accent 5;\lsdpriority52 \lsdlocked0 List Table 7 Colorful Accent 5;&#13;_x000a_\lsdpriority46 \lsdlocked0 List Table 1 Light Accent 6;\lsdpriority47 \lsdlocked0 List Table 2 Accent 6;\lsdpriority48 \lsdlocked0 List Table 3 Accent 6;\lsdpriority49 \lsdlocked0 List Table 4 Accent 6;&#13;_x000a_\lsdpriority50 \lsdlocked0 List Table 5 Dark Accent 6;\lsdpriority51 \lsdlocked0 List Table 6 Colorful Accent 6;\lsdpriority52 \lsdlocked0 List Table 7 Colorful Accent 6;}}{\*\datastore 010500000200000018000000&#13;_x000a_4d73786d6c322e534158584d4c5265616465722e362e3000000000000000000000060000&#13;_x000a_d0cf11e0a1b11ae1000000000000000000000000000000003e000300feff090006000000000000000000000001000000010000000000000000100000feffffff00000000feffffff0000000000000000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dfffffffe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52006f006f007400200045006e00740072007900000000000000000000000000000000000000000000000000000000000000000000000000000000000000000016000500ffffffffffffffffffffffff0c6ad98892f1d411a65f0040963251e50000000000000000000000009066&#13;_x000a_596ca931d501feffffff00000000000000000000000000000000000000000000000000000000000000000000000000000000000000000000000000000000000000000000000000000000000000000000000000000000ffffffffffffffffffffffff00000000000000000000000000000000000000000000000000000000&#13;_x000a_00000000000000000000000000000000000000000000000000000000000000000000000000000000000000000000000000000000000000000000000000000000000000000000000000000000000000000000000000000000ffffffffffffffffffffffff0000000000000000000000000000000000000000000000000000&#13;_x000a_000000000000000000000000000000000000000000000000000000000000000000000000000000000000000000000000000000000000000000000000000000000000000000000000000000000000000000000000000000000000ffffffffffffffffffffffff000000000000000000000000000000000000000000000000&#13;_x000a_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otto">
    <w:name w:val="EPFooter2Motto"/>
    <w:uiPriority w:val="1"/>
    <w:qFormat/>
    <w:rsid w:val="005B06CE"/>
    <w:rPr>
      <w:rFonts w:ascii="Arial" w:hAnsi="Arial"/>
      <w:b/>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10</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AM_Com_NonLegCompr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1263440</vt:lpwstr>
  </property>
  <property fmtid="{D5CDD505-2E9C-101B-9397-08002B2CF9AE}" pid="4" name="&lt;Model&gt;">
    <vt:lpwstr>AM_Com_NonLegCompr</vt:lpwstr>
  </property>
  <property fmtid="{D5CDD505-2E9C-101B-9397-08002B2CF9AE}" pid="5" name="&lt;Type&gt;">
    <vt:lpwstr>AM</vt:lpwstr>
  </property>
  <property fmtid="{D5CDD505-2E9C-101B-9397-08002B2CF9AE}" pid="6" name="DMXMLUID">
    <vt:lpwstr>20220921-172447-081161-779118</vt:lpwstr>
  </property>
  <property fmtid="{D5CDD505-2E9C-101B-9397-08002B2CF9AE}" pid="7" name="FooterPath">
    <vt:lpwstr>AM\1263440EN.docx</vt:lpwstr>
  </property>
  <property fmtid="{D5CDD505-2E9C-101B-9397-08002B2CF9AE}" pid="8" name="PE Number">
    <vt:lpwstr>736.596</vt:lpwstr>
  </property>
  <property fmtid="{D5CDD505-2E9C-101B-9397-08002B2CF9AE}" pid="9" name="UID">
    <vt:lpwstr>eu.europa.europarl-DIN1-2022-0000105245_02.00-en-01.00_text-xml</vt:lpwstr>
  </property>
</Properties>
</file>